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szCs w:val="32"/>
        </w:rPr>
      </w:pPr>
      <w:bookmarkStart w:id="0" w:name="_Toc13834538"/>
      <w:bookmarkStart w:id="1" w:name="_Toc13843552"/>
      <w:r>
        <w:rPr>
          <w:rFonts w:hint="eastAsia"/>
          <w:color w:val="auto"/>
          <w:szCs w:val="32"/>
        </w:rPr>
        <w:t>盐田区支持总部企业发展实施办法</w:t>
      </w:r>
      <w:bookmarkStart w:id="2" w:name="_Toc13834539"/>
      <w:bookmarkStart w:id="3" w:name="_Toc13843553"/>
      <w:r>
        <w:rPr>
          <w:rFonts w:hint="eastAsia"/>
          <w:color w:val="auto"/>
        </w:rPr>
        <w:t>申报指南</w:t>
      </w:r>
      <w:bookmarkEnd w:id="0"/>
      <w:bookmarkEnd w:id="1"/>
      <w:bookmarkEnd w:id="2"/>
      <w:bookmarkEnd w:id="3"/>
    </w:p>
    <w:p>
      <w:pPr>
        <w:pStyle w:val="2"/>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2021年修订版</w:t>
      </w:r>
      <w:r>
        <w:rPr>
          <w:rFonts w:hint="eastAsia" w:ascii="楷体_GB2312" w:hAnsi="楷体_GB2312" w:eastAsia="楷体_GB2312" w:cs="楷体_GB2312"/>
          <w:color w:val="auto"/>
          <w:sz w:val="32"/>
          <w:szCs w:val="32"/>
          <w:lang w:eastAsia="zh-CN"/>
        </w:rPr>
        <w:t>）</w:t>
      </w:r>
    </w:p>
    <w:p>
      <w:pPr>
        <w:rPr>
          <w:color w:val="auto"/>
        </w:rPr>
      </w:pPr>
    </w:p>
    <w:p>
      <w:pPr>
        <w:rPr>
          <w:color w:val="auto"/>
        </w:rPr>
      </w:pPr>
    </w:p>
    <w:sdt>
      <w:sdtPr>
        <w:rPr>
          <w:color w:val="auto"/>
          <w:lang w:val="zh-CN"/>
        </w:rPr>
        <w:id w:val="90028880"/>
        <w:docPartObj>
          <w:docPartGallery w:val="Table of Contents"/>
          <w:docPartUnique/>
        </w:docPartObj>
      </w:sdtPr>
      <w:sdtEndPr>
        <w:rPr>
          <w:color w:val="auto"/>
          <w:lang w:val="en-US"/>
        </w:rPr>
      </w:sdtEndPr>
      <w:sdtContent>
        <w:p>
          <w:pPr>
            <w:pStyle w:val="10"/>
            <w:tabs>
              <w:tab w:val="right" w:leader="dot" w:pos="8834"/>
            </w:tabs>
            <w:rPr>
              <w:rFonts w:asciiTheme="minorHAnsi" w:hAnsiTheme="minorHAnsi" w:eastAsiaTheme="minorEastAsia" w:cstheme="minorBidi"/>
              <w:color w:val="auto"/>
              <w:sz w:val="21"/>
              <w:szCs w:val="22"/>
            </w:rPr>
          </w:pPr>
          <w:r>
            <w:rPr>
              <w:color w:val="auto"/>
            </w:rPr>
            <w:fldChar w:fldCharType="begin"/>
          </w:r>
          <w:r>
            <w:rPr>
              <w:color w:val="auto"/>
            </w:rPr>
            <w:instrText xml:space="preserve"> TOC \o "1-3" \h \z \u </w:instrText>
          </w:r>
          <w:r>
            <w:rPr>
              <w:color w:val="auto"/>
            </w:rPr>
            <w:fldChar w:fldCharType="separate"/>
          </w:r>
        </w:p>
        <w:p>
          <w:pPr>
            <w:pStyle w:val="10"/>
            <w:tabs>
              <w:tab w:val="right" w:leader="dot" w:pos="8834"/>
            </w:tabs>
            <w:rPr>
              <w:rFonts w:asciiTheme="minorHAnsi" w:hAnsiTheme="minorHAnsi" w:eastAsiaTheme="minorEastAsia" w:cstheme="minorBidi"/>
              <w:color w:val="auto"/>
              <w:sz w:val="21"/>
              <w:szCs w:val="22"/>
            </w:rPr>
          </w:pPr>
        </w:p>
        <w:p>
          <w:pPr>
            <w:pStyle w:val="10"/>
            <w:tabs>
              <w:tab w:val="right" w:leader="dot" w:pos="8834"/>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"_Toc13843554" </w:instrText>
          </w:r>
          <w:r>
            <w:rPr>
              <w:color w:val="auto"/>
            </w:rPr>
            <w:fldChar w:fldCharType="separate"/>
          </w:r>
          <w:r>
            <w:rPr>
              <w:rStyle w:val="16"/>
              <w:rFonts w:hint="eastAsia"/>
              <w:color w:val="auto"/>
            </w:rPr>
            <w:t>盐田区总部企业认定申报指南</w:t>
          </w:r>
          <w:r>
            <w:rPr>
              <w:color w:val="auto"/>
            </w:rPr>
            <w:tab/>
          </w:r>
          <w:r>
            <w:rPr>
              <w:color w:val="auto"/>
            </w:rPr>
            <w:fldChar w:fldCharType="begin"/>
          </w:r>
          <w:r>
            <w:rPr>
              <w:color w:val="auto"/>
            </w:rPr>
            <w:instrText xml:space="preserve"> PAGEREF _Toc13843554 \h </w:instrText>
          </w:r>
          <w:r>
            <w:rPr>
              <w:color w:val="auto"/>
            </w:rPr>
            <w:fldChar w:fldCharType="separate"/>
          </w:r>
          <w:r>
            <w:rPr>
              <w:color w:val="auto"/>
            </w:rPr>
            <w:t>2</w:t>
          </w:r>
          <w:r>
            <w:rPr>
              <w:color w:val="auto"/>
            </w:rPr>
            <w:fldChar w:fldCharType="end"/>
          </w:r>
          <w:r>
            <w:rPr>
              <w:color w:val="auto"/>
            </w:rPr>
            <w:fldChar w:fldCharType="end"/>
          </w:r>
        </w:p>
        <w:p>
          <w:pPr>
            <w:pStyle w:val="10"/>
            <w:tabs>
              <w:tab w:val="right" w:leader="dot" w:pos="8834"/>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"_Toc13843558" </w:instrText>
          </w:r>
          <w:r>
            <w:rPr>
              <w:color w:val="auto"/>
            </w:rPr>
            <w:fldChar w:fldCharType="separate"/>
          </w:r>
          <w:r>
            <w:rPr>
              <w:rStyle w:val="16"/>
              <w:rFonts w:hint="eastAsia"/>
              <w:color w:val="auto"/>
            </w:rPr>
            <w:t>盐田区总部企业经济贡献奖励申报指南</w:t>
          </w:r>
          <w:r>
            <w:rPr>
              <w:color w:val="auto"/>
            </w:rPr>
            <w:tab/>
          </w:r>
          <w:r>
            <w:rPr>
              <w:color w:val="auto"/>
            </w:rPr>
            <w:fldChar w:fldCharType="begin"/>
          </w:r>
          <w:r>
            <w:rPr>
              <w:color w:val="auto"/>
            </w:rPr>
            <w:instrText xml:space="preserve"> PAGEREF _Toc13843558 \h </w:instrText>
          </w:r>
          <w:r>
            <w:rPr>
              <w:color w:val="auto"/>
            </w:rPr>
            <w:fldChar w:fldCharType="separate"/>
          </w:r>
          <w:r>
            <w:rPr>
              <w:color w:val="auto"/>
            </w:rPr>
            <w:t>9</w:t>
          </w:r>
          <w:r>
            <w:rPr>
              <w:color w:val="auto"/>
            </w:rPr>
            <w:fldChar w:fldCharType="end"/>
          </w:r>
          <w:r>
            <w:rPr>
              <w:color w:val="auto"/>
            </w:rPr>
            <w:fldChar w:fldCharType="end"/>
          </w:r>
        </w:p>
        <w:p>
          <w:pPr>
            <w:pStyle w:val="10"/>
            <w:tabs>
              <w:tab w:val="right" w:leader="dot" w:pos="8834"/>
            </w:tabs>
            <w:rPr>
              <w:rFonts w:asciiTheme="minorHAnsi" w:hAnsiTheme="minorHAnsi" w:eastAsiaTheme="minorEastAsia" w:cstheme="minorBidi"/>
              <w:color w:val="auto"/>
              <w:sz w:val="21"/>
              <w:szCs w:val="22"/>
            </w:rPr>
          </w:pPr>
          <w:r>
            <w:rPr>
              <w:color w:val="auto"/>
            </w:rPr>
            <w:fldChar w:fldCharType="begin"/>
          </w:r>
          <w:r>
            <w:rPr>
              <w:color w:val="auto"/>
            </w:rPr>
            <w:instrText xml:space="preserve"> HYPERLINK \l "_Toc13843564" </w:instrText>
          </w:r>
          <w:r>
            <w:rPr>
              <w:color w:val="auto"/>
            </w:rPr>
            <w:fldChar w:fldCharType="separate"/>
          </w:r>
          <w:r>
            <w:rPr>
              <w:rStyle w:val="16"/>
              <w:rFonts w:hint="eastAsia"/>
              <w:color w:val="auto"/>
            </w:rPr>
            <w:t>盐田区总部企业用房支持申报指南</w:t>
          </w:r>
          <w:r>
            <w:rPr>
              <w:color w:val="auto"/>
            </w:rPr>
            <w:tab/>
          </w:r>
          <w:r>
            <w:rPr>
              <w:color w:val="auto"/>
            </w:rPr>
            <w:fldChar w:fldCharType="begin"/>
          </w:r>
          <w:r>
            <w:rPr>
              <w:color w:val="auto"/>
            </w:rPr>
            <w:instrText xml:space="preserve"> PAGEREF _Toc13843564 \h </w:instrText>
          </w:r>
          <w:r>
            <w:rPr>
              <w:color w:val="auto"/>
            </w:rPr>
            <w:fldChar w:fldCharType="separate"/>
          </w:r>
          <w:r>
            <w:rPr>
              <w:color w:val="auto"/>
            </w:rPr>
            <w:t>19</w:t>
          </w:r>
          <w:r>
            <w:rPr>
              <w:color w:val="auto"/>
            </w:rPr>
            <w:fldChar w:fldCharType="end"/>
          </w:r>
          <w:r>
            <w:rPr>
              <w:color w:val="auto"/>
            </w:rPr>
            <w:fldChar w:fldCharType="end"/>
          </w:r>
        </w:p>
        <w:p>
          <w:pPr>
            <w:rPr>
              <w:color w:val="auto"/>
            </w:rPr>
          </w:pPr>
          <w:r>
            <w:rPr>
              <w:color w:val="auto"/>
            </w:rPr>
            <w:fldChar w:fldCharType="end"/>
          </w:r>
          <w:r>
            <w:rPr>
              <w:color w:val="auto"/>
            </w:rPr>
            <w:t xml:space="preserve"> </w:t>
          </w:r>
        </w:p>
      </w:sdtContent>
    </w:sdt>
    <w:p>
      <w:pPr>
        <w:snapToGrid w:val="0"/>
        <w:spacing w:line="520" w:lineRule="exact"/>
        <w:ind w:firstLine="560"/>
        <w:rPr>
          <w:color w:val="auto"/>
        </w:rPr>
      </w:pPr>
    </w:p>
    <w:p>
      <w:pPr>
        <w:snapToGrid w:val="0"/>
        <w:spacing w:line="520" w:lineRule="exact"/>
        <w:rPr>
          <w:rFonts w:ascii="仿宋_GB2312" w:hAnsi="Calibri"/>
          <w:color w:val="auto"/>
          <w:szCs w:val="32"/>
        </w:rPr>
      </w:pPr>
      <w:r>
        <w:rPr>
          <w:color w:val="auto"/>
        </w:rPr>
        <w:t xml:space="preserve">   </w:t>
      </w:r>
      <w:r>
        <w:rPr>
          <w:rFonts w:hint="eastAsia" w:ascii="仿宋_GB2312" w:hAnsi="Calibri"/>
          <w:color w:val="auto"/>
          <w:szCs w:val="32"/>
        </w:rPr>
        <w:t xml:space="preserve"> </w:t>
      </w: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rPr>
          <w:rFonts w:ascii="仿宋_GB2312" w:hAnsi="Calibri"/>
          <w:color w:val="auto"/>
          <w:szCs w:val="32"/>
        </w:rPr>
      </w:pPr>
    </w:p>
    <w:p>
      <w:pPr>
        <w:snapToGrid w:val="0"/>
        <w:spacing w:line="520" w:lineRule="exact"/>
        <w:ind w:firstLine="640" w:firstLineChars="200"/>
        <w:rPr>
          <w:color w:val="auto"/>
        </w:rPr>
      </w:pPr>
      <w:r>
        <w:rPr>
          <w:rFonts w:hint="eastAsia" w:ascii="仿宋_GB2312" w:hAnsi="Calibri"/>
          <w:color w:val="auto"/>
          <w:szCs w:val="32"/>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w:t>
      </w:r>
      <w:r>
        <w:rPr>
          <w:rFonts w:hint="eastAsia"/>
          <w:color w:val="auto"/>
        </w:rPr>
        <w:t>的，请知情者即向盐田区工业和信息化局举报。</w:t>
      </w:r>
    </w:p>
    <w:p>
      <w:pPr>
        <w:pStyle w:val="2"/>
        <w:rPr>
          <w:color w:val="auto"/>
        </w:rPr>
      </w:pPr>
      <w:bookmarkStart w:id="4" w:name="的"/>
      <w:bookmarkEnd w:id="4"/>
      <w:bookmarkStart w:id="5" w:name="_Toc13843554"/>
      <w:r>
        <w:rPr>
          <w:rFonts w:hint="eastAsia"/>
          <w:color w:val="auto"/>
        </w:rPr>
        <w:t>盐田区总部企业认定申报指南</w:t>
      </w:r>
      <w:bookmarkEnd w:id="5"/>
    </w:p>
    <w:p>
      <w:pPr>
        <w:snapToGrid w:val="0"/>
        <w:spacing w:line="520" w:lineRule="exact"/>
        <w:ind w:firstLine="640"/>
        <w:rPr>
          <w:rFonts w:ascii="黑体" w:hAnsi="Calibri" w:eastAsia="黑体"/>
          <w:color w:val="auto"/>
          <w:szCs w:val="32"/>
        </w:rPr>
      </w:pP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一、申请内容</w:t>
      </w:r>
    </w:p>
    <w:p>
      <w:pPr>
        <w:snapToGrid w:val="0"/>
        <w:spacing w:line="520" w:lineRule="exact"/>
        <w:ind w:firstLine="640"/>
        <w:rPr>
          <w:color w:val="auto"/>
          <w:szCs w:val="32"/>
        </w:rPr>
      </w:pPr>
      <w:r>
        <w:rPr>
          <w:rFonts w:hint="eastAsia"/>
          <w:color w:val="auto"/>
          <w:szCs w:val="32"/>
        </w:rPr>
        <w:t>对符合市、区产业结构调整优化目录，工商及税务登记在盐田区且具有独立法人资格，在一定区域内的行使投资控股、运营决策、集中销售、财务结算等管理服务职能的总机构，符合《盐田区支持总部企业发展实施办法》相关认定条件的企业，可申请认定为盐田区总部企业。</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二、设定依据</w:t>
      </w:r>
    </w:p>
    <w:p>
      <w:pPr>
        <w:snapToGrid w:val="0"/>
        <w:spacing w:line="520" w:lineRule="exact"/>
        <w:ind w:firstLine="640"/>
        <w:rPr>
          <w:rFonts w:ascii="仿宋_GB2312" w:hAnsi="Calibri"/>
          <w:color w:val="auto"/>
          <w:szCs w:val="32"/>
        </w:rPr>
      </w:pPr>
      <w:r>
        <w:rPr>
          <w:rFonts w:hint="eastAsia" w:ascii="仿宋_GB2312" w:hAnsi="Calibri"/>
          <w:color w:val="auto"/>
          <w:szCs w:val="32"/>
          <w:highlight w:val="none"/>
        </w:rPr>
        <w:t>（一）《盐田区产业发展资金管理规定的通知》，盐田</w:t>
      </w:r>
      <w:r>
        <w:rPr>
          <w:rFonts w:hint="eastAsia" w:ascii="仿宋_GB2312" w:hAnsi="Calibri"/>
          <w:color w:val="auto"/>
          <w:szCs w:val="32"/>
        </w:rPr>
        <w:t>区人民政府，深盐府规〔2020〕1号；</w:t>
      </w:r>
    </w:p>
    <w:p>
      <w:pPr>
        <w:snapToGrid w:val="0"/>
        <w:spacing w:line="520" w:lineRule="exact"/>
        <w:ind w:firstLine="640"/>
        <w:rPr>
          <w:rFonts w:ascii="仿宋_GB2312" w:hAnsi="Calibri"/>
          <w:color w:val="auto"/>
          <w:szCs w:val="32"/>
        </w:rPr>
      </w:pPr>
      <w:r>
        <w:rPr>
          <w:rFonts w:hint="eastAsia" w:ascii="仿宋_GB2312" w:hAnsi="Calibri"/>
          <w:color w:val="auto"/>
          <w:szCs w:val="32"/>
        </w:rPr>
        <w:t>（二）《</w:t>
      </w:r>
      <w:r>
        <w:rPr>
          <w:rFonts w:hint="eastAsia"/>
          <w:color w:val="auto"/>
          <w:szCs w:val="32"/>
        </w:rPr>
        <w:t>盐田区支持总部企业发展实施办法</w:t>
      </w:r>
      <w:r>
        <w:rPr>
          <w:rFonts w:hint="eastAsia" w:ascii="仿宋_GB2312" w:hAnsi="Calibri"/>
          <w:color w:val="auto"/>
          <w:szCs w:val="32"/>
        </w:rPr>
        <w:t>》，盐田区人民政府，深盐府规〔2019〕5号。</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三、办理条件</w:t>
      </w:r>
    </w:p>
    <w:p>
      <w:pPr>
        <w:snapToGrid w:val="0"/>
        <w:spacing w:line="520" w:lineRule="exact"/>
        <w:ind w:firstLine="640"/>
        <w:rPr>
          <w:rFonts w:ascii="仿宋_GB2312" w:hAnsi="Calibri"/>
          <w:color w:val="auto"/>
          <w:szCs w:val="32"/>
        </w:rPr>
      </w:pPr>
      <w:r>
        <w:rPr>
          <w:rFonts w:hint="eastAsia" w:ascii="仿宋_GB2312" w:hAnsi="Calibri"/>
          <w:color w:val="auto"/>
          <w:szCs w:val="32"/>
        </w:rPr>
        <w:t>申请该项目企业应当符合以下条件：</w:t>
      </w:r>
    </w:p>
    <w:p>
      <w:pPr>
        <w:snapToGrid w:val="0"/>
        <w:spacing w:line="520" w:lineRule="exact"/>
        <w:ind w:firstLine="640"/>
        <w:rPr>
          <w:rFonts w:ascii="仿宋_GB2312" w:hAnsi="Calibri"/>
          <w:color w:val="auto"/>
          <w:szCs w:val="32"/>
        </w:rPr>
      </w:pPr>
      <w:r>
        <w:rPr>
          <w:rFonts w:hint="eastAsia" w:ascii="仿宋_GB2312" w:hAnsi="Calibri"/>
          <w:color w:val="auto"/>
          <w:szCs w:val="32"/>
        </w:rPr>
        <w:t>（一）申报单位应当是在盐田区注册并具有独立法人资格的企业；</w:t>
      </w:r>
    </w:p>
    <w:p>
      <w:pPr>
        <w:snapToGrid w:val="0"/>
        <w:spacing w:line="520" w:lineRule="exact"/>
        <w:ind w:firstLine="640"/>
        <w:rPr>
          <w:rFonts w:ascii="仿宋_GB2312"/>
          <w:color w:val="auto"/>
          <w:szCs w:val="32"/>
        </w:rPr>
      </w:pPr>
      <w:r>
        <w:rPr>
          <w:rFonts w:hint="eastAsia" w:ascii="仿宋_GB2312"/>
          <w:color w:val="auto"/>
          <w:szCs w:val="32"/>
        </w:rPr>
        <w:t>（二）产权关系明晰，依法经营，诚实守信；</w:t>
      </w:r>
    </w:p>
    <w:p>
      <w:pPr>
        <w:snapToGrid w:val="0"/>
        <w:spacing w:line="520" w:lineRule="exact"/>
        <w:ind w:firstLine="640"/>
        <w:rPr>
          <w:rFonts w:ascii="仿宋_GB2312"/>
          <w:color w:val="auto"/>
          <w:szCs w:val="32"/>
        </w:rPr>
      </w:pPr>
      <w:r>
        <w:rPr>
          <w:rFonts w:hint="eastAsia" w:ascii="仿宋_GB2312"/>
          <w:color w:val="auto"/>
          <w:szCs w:val="32"/>
        </w:rPr>
        <w:t>（三）有严格的财务管理制度和健全的会计核算体系；</w:t>
      </w:r>
    </w:p>
    <w:p>
      <w:pPr>
        <w:snapToGrid w:val="0"/>
        <w:spacing w:line="520" w:lineRule="exact"/>
        <w:ind w:firstLine="640"/>
        <w:rPr>
          <w:rFonts w:ascii="仿宋_GB2312"/>
          <w:color w:val="auto"/>
          <w:szCs w:val="32"/>
        </w:rPr>
      </w:pPr>
      <w:r>
        <w:rPr>
          <w:rFonts w:hint="eastAsia" w:ascii="仿宋_GB2312"/>
          <w:color w:val="auto"/>
          <w:szCs w:val="32"/>
        </w:rPr>
        <w:t>（四）统计关系原则上在盐田区，依法报送统计报表；</w:t>
      </w:r>
    </w:p>
    <w:p>
      <w:pPr>
        <w:snapToGrid w:val="0"/>
        <w:spacing w:line="520" w:lineRule="exact"/>
        <w:ind w:firstLine="640"/>
        <w:rPr>
          <w:rFonts w:ascii="仿宋_GB2312"/>
          <w:color w:val="auto"/>
          <w:szCs w:val="32"/>
        </w:rPr>
      </w:pPr>
      <w:r>
        <w:rPr>
          <w:rFonts w:hint="eastAsia" w:ascii="仿宋_GB2312"/>
          <w:color w:val="auto"/>
          <w:szCs w:val="32"/>
        </w:rPr>
        <w:t>（五）符合盐田区总部企业认定标准。</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四、</w:t>
      </w:r>
      <w:r>
        <w:rPr>
          <w:rFonts w:hint="eastAsia" w:ascii="黑体" w:hAnsi="黑体" w:eastAsia="黑体"/>
          <w:color w:val="auto"/>
          <w:szCs w:val="32"/>
        </w:rPr>
        <w:t>认定标准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（一）在本区注册设立且经营不满一年，注册资本不低于</w:t>
      </w:r>
      <w:r>
        <w:rPr>
          <w:rFonts w:ascii="仿宋_GB2312" w:eastAsia="仿宋_GB2312" w:cs="仿宋_GB2312"/>
          <w:color w:val="auto"/>
          <w:sz w:val="32"/>
          <w:szCs w:val="32"/>
        </w:rPr>
        <w:t>1</w:t>
      </w:r>
      <w:r>
        <w:rPr>
          <w:rFonts w:hint="eastAsia" w:ascii="仿宋_GB2312" w:eastAsia="仿宋_GB2312" w:cs="仿宋_GB2312"/>
          <w:color w:val="auto"/>
          <w:sz w:val="32"/>
          <w:szCs w:val="32"/>
        </w:rPr>
        <w:t>亿元（人民币</w:t>
      </w:r>
      <w:r>
        <w:rPr>
          <w:rFonts w:ascii="仿宋_GB2312" w:eastAsia="仿宋_GB2312" w:cs="仿宋_GB2312"/>
          <w:color w:val="auto"/>
          <w:sz w:val="32"/>
          <w:szCs w:val="32"/>
        </w:rPr>
        <w:t>，下同</w:t>
      </w:r>
      <w:r>
        <w:rPr>
          <w:rFonts w:hint="eastAsia" w:ascii="仿宋_GB2312" w:eastAsia="仿宋_GB2312" w:cs="仿宋_GB2312"/>
          <w:color w:val="auto"/>
          <w:sz w:val="32"/>
          <w:szCs w:val="32"/>
        </w:rPr>
        <w:t>），其控股母公司总资产不低于</w:t>
      </w:r>
      <w:r>
        <w:rPr>
          <w:rFonts w:ascii="仿宋_GB2312" w:eastAsia="仿宋_GB2312" w:cs="仿宋_GB2312"/>
          <w:color w:val="auto"/>
          <w:sz w:val="32"/>
          <w:szCs w:val="32"/>
        </w:rPr>
        <w:t>20</w:t>
      </w:r>
      <w:r>
        <w:rPr>
          <w:rFonts w:hint="eastAsia" w:ascii="仿宋_GB2312" w:eastAsia="仿宋_GB2312" w:cs="仿宋_GB2312"/>
          <w:color w:val="auto"/>
          <w:sz w:val="32"/>
          <w:szCs w:val="32"/>
        </w:rPr>
        <w:t>亿元，承诺在申请认定次年形成区级财政贡献不低于1000万元。</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（二）由原注册地新迁入且经营不满一年，注册资本不低于</w:t>
      </w:r>
      <w:r>
        <w:rPr>
          <w:rFonts w:ascii="仿宋_GB2312" w:eastAsia="仿宋_GB2312" w:cs="仿宋_GB2312"/>
          <w:color w:val="auto"/>
          <w:sz w:val="32"/>
          <w:szCs w:val="32"/>
        </w:rPr>
        <w:t>1</w:t>
      </w:r>
      <w:r>
        <w:rPr>
          <w:rFonts w:hint="eastAsia" w:ascii="仿宋_GB2312" w:eastAsia="仿宋_GB2312" w:cs="仿宋_GB2312"/>
          <w:color w:val="auto"/>
          <w:sz w:val="32"/>
          <w:szCs w:val="32"/>
        </w:rPr>
        <w:t>亿元，</w:t>
      </w:r>
      <w:r>
        <w:rPr>
          <w:rFonts w:hint="eastAsia" w:ascii="仿宋_GB2312" w:hAnsi="仿宋_GB2312" w:eastAsia="仿宋_GB2312" w:cs="仿宋_GB2312"/>
          <w:color w:val="auto"/>
          <w:sz w:val="32"/>
          <w:szCs w:val="32"/>
        </w:rPr>
        <w:t>上年度</w:t>
      </w:r>
      <w:r>
        <w:rPr>
          <w:rFonts w:hint="eastAsia" w:ascii="仿宋_GB2312" w:eastAsia="仿宋_GB2312" w:cs="仿宋_GB2312"/>
          <w:color w:val="auto"/>
          <w:sz w:val="32"/>
          <w:szCs w:val="32"/>
        </w:rPr>
        <w:t>企业</w:t>
      </w:r>
      <w:r>
        <w:rPr>
          <w:rFonts w:hint="eastAsia" w:ascii="仿宋_GB2312" w:eastAsia="仿宋_GB2312"/>
          <w:color w:val="auto"/>
          <w:sz w:val="32"/>
          <w:szCs w:val="32"/>
        </w:rPr>
        <w:t>纳税总额不低于3000万元</w:t>
      </w:r>
      <w:r>
        <w:rPr>
          <w:rFonts w:hint="eastAsia" w:ascii="仿宋_GB2312" w:eastAsia="仿宋_GB2312" w:cs="仿宋_GB2312"/>
          <w:color w:val="auto"/>
          <w:sz w:val="32"/>
          <w:szCs w:val="32"/>
        </w:rPr>
        <w:t>，承诺在申请认定次年形成区级财政贡献不低于1000万元。</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（三）在本区注册且在本区持续经营一年（含一年）以上，上年度形成区级财政贡献不低于1000万元。</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四）在境内证券交易所（包括上海证券交易所、深圳证券交易所主板、中小企业板、创业板、科创板）和境外主要证券交易所（纽约证券交易所、纳斯达克证券交易所、伦敦证券交易所、东京证券交易所、香港证券交易所、新加坡证券交易所、法兰克福证券交易所）上市的公司总部可直接认定为区总部企业。</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（五）工商及税务登记在区的市级总部企业可直接认定为区总部企业。</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（六）对于产业主管部门引进并认定的对我区重点产业发展具有填补空白和完善产业链作用或者核心技术处于国内外先进地位的企业，经与区政府签订合作协议，可申请认定为区总部企业。</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五、申请材料</w:t>
      </w:r>
    </w:p>
    <w:p>
      <w:pPr>
        <w:snapToGrid w:val="0"/>
        <w:spacing w:line="520" w:lineRule="exact"/>
        <w:ind w:firstLine="640"/>
        <w:rPr>
          <w:rFonts w:ascii="仿宋_GB2312"/>
          <w:color w:val="auto"/>
          <w:szCs w:val="32"/>
        </w:rPr>
      </w:pPr>
      <w:r>
        <w:rPr>
          <w:rFonts w:hint="eastAsia" w:ascii="仿宋_GB2312"/>
          <w:color w:val="auto"/>
          <w:szCs w:val="32"/>
        </w:rPr>
        <w:t>（一）《盐田区产业发展资金扶持项目申请书（总部企业认定）》（通知附件可下载相应申请书）原件及电子文档，原件为在电脑上按要求填写后打印生成的纸质文件原件（需签字盖章），电子文档为填写后的Word版电子文档（电子文档需发邮件至ytcyzj@yantian.gov.cn）。</w:t>
      </w:r>
    </w:p>
    <w:p>
      <w:pPr>
        <w:snapToGrid w:val="0"/>
        <w:spacing w:line="520" w:lineRule="exact"/>
        <w:ind w:firstLine="640"/>
        <w:rPr>
          <w:rFonts w:ascii="仿宋_GB2312"/>
          <w:color w:val="auto"/>
          <w:szCs w:val="32"/>
        </w:rPr>
      </w:pPr>
      <w:r>
        <w:rPr>
          <w:rFonts w:hint="eastAsia" w:ascii="仿宋_GB2312"/>
          <w:color w:val="auto"/>
          <w:szCs w:val="32"/>
        </w:rPr>
        <w:t>（二）营业执照复印件。</w:t>
      </w:r>
    </w:p>
    <w:p>
      <w:pPr>
        <w:snapToGrid w:val="0"/>
        <w:spacing w:line="520" w:lineRule="exact"/>
        <w:ind w:firstLine="640"/>
        <w:rPr>
          <w:rFonts w:ascii="仿宋_GB2312"/>
          <w:color w:val="auto"/>
          <w:szCs w:val="32"/>
        </w:rPr>
      </w:pPr>
      <w:r>
        <w:rPr>
          <w:rFonts w:hint="eastAsia" w:ascii="仿宋_GB2312"/>
          <w:color w:val="auto"/>
          <w:szCs w:val="32"/>
        </w:rPr>
        <w:t>（三）法人代表身份证复印件（法定代表人签字）或法人委托书原件及代理人身份证复印件。</w:t>
      </w:r>
    </w:p>
    <w:p>
      <w:pPr>
        <w:snapToGrid w:val="0"/>
        <w:spacing w:line="520" w:lineRule="exact"/>
        <w:ind w:firstLine="640"/>
        <w:rPr>
          <w:rFonts w:ascii="仿宋_GB2312"/>
          <w:color w:val="auto"/>
          <w:szCs w:val="32"/>
        </w:rPr>
      </w:pPr>
      <w:r>
        <w:rPr>
          <w:rFonts w:hint="eastAsia" w:ascii="仿宋_GB2312"/>
          <w:color w:val="auto"/>
          <w:szCs w:val="32"/>
        </w:rPr>
        <w:t>（四）纳入统计核算的控股企业或分支机构营业执照复印件、与本企业的隶属关系证明。</w:t>
      </w:r>
    </w:p>
    <w:p>
      <w:pPr>
        <w:snapToGrid w:val="0"/>
        <w:spacing w:line="520" w:lineRule="exact"/>
        <w:ind w:firstLine="640"/>
        <w:rPr>
          <w:rFonts w:ascii="仿宋_GB2312"/>
          <w:color w:val="auto"/>
          <w:szCs w:val="32"/>
        </w:rPr>
      </w:pPr>
      <w:r>
        <w:rPr>
          <w:rFonts w:hint="eastAsia" w:ascii="仿宋_GB2312"/>
          <w:color w:val="auto"/>
          <w:szCs w:val="32"/>
        </w:rPr>
        <w:t>（五）承诺书（通知附件可下载相应承诺书）</w:t>
      </w:r>
    </w:p>
    <w:p>
      <w:pPr>
        <w:snapToGrid w:val="0"/>
        <w:spacing w:line="520" w:lineRule="exact"/>
        <w:ind w:firstLine="640"/>
        <w:rPr>
          <w:rFonts w:ascii="仿宋_GB2312"/>
          <w:b/>
          <w:color w:val="auto"/>
          <w:szCs w:val="32"/>
        </w:rPr>
      </w:pPr>
      <w:r>
        <w:rPr>
          <w:rFonts w:hint="eastAsia" w:ascii="仿宋_GB2312"/>
          <w:color w:val="auto"/>
          <w:szCs w:val="32"/>
        </w:rPr>
        <w:t>（六）</w:t>
      </w:r>
      <w:r>
        <w:rPr>
          <w:rFonts w:hint="eastAsia" w:ascii="仿宋_GB2312"/>
          <w:b/>
          <w:color w:val="auto"/>
          <w:szCs w:val="32"/>
        </w:rPr>
        <w:t>申请</w:t>
      </w:r>
      <w:r>
        <w:rPr>
          <w:rFonts w:hint="eastAsia" w:ascii="仿宋_GB2312" w:cs="仿宋_GB2312"/>
          <w:b/>
          <w:color w:val="auto"/>
          <w:szCs w:val="32"/>
        </w:rPr>
        <w:t>《盐田区支持总部企业发展实施办法》（以下简称《办法》）</w:t>
      </w:r>
      <w:r>
        <w:rPr>
          <w:rFonts w:hint="eastAsia" w:ascii="仿宋_GB2312"/>
          <w:b/>
          <w:color w:val="auto"/>
          <w:szCs w:val="32"/>
        </w:rPr>
        <w:t>第六条第一款总部企业认定的，还须提供以下资料：</w:t>
      </w:r>
    </w:p>
    <w:p>
      <w:pPr>
        <w:snapToGrid w:val="0"/>
        <w:spacing w:line="520" w:lineRule="exact"/>
        <w:ind w:firstLine="640"/>
        <w:rPr>
          <w:rFonts w:ascii="仿宋_GB2312"/>
          <w:color w:val="auto"/>
          <w:szCs w:val="32"/>
        </w:rPr>
      </w:pPr>
      <w:r>
        <w:rPr>
          <w:rFonts w:hint="eastAsia" w:ascii="仿宋_GB2312"/>
          <w:color w:val="auto"/>
          <w:szCs w:val="32"/>
        </w:rPr>
        <w:t>1、控股母公司上年度财务审计报告复印件（验原件）；</w:t>
      </w:r>
    </w:p>
    <w:p>
      <w:pPr>
        <w:snapToGrid w:val="0"/>
        <w:spacing w:line="520" w:lineRule="exact"/>
        <w:ind w:firstLine="640"/>
        <w:rPr>
          <w:rFonts w:ascii="仿宋_GB2312"/>
          <w:color w:val="auto"/>
          <w:szCs w:val="32"/>
        </w:rPr>
      </w:pPr>
      <w:r>
        <w:rPr>
          <w:rFonts w:hint="eastAsia" w:ascii="仿宋_GB2312"/>
          <w:color w:val="auto"/>
          <w:szCs w:val="32"/>
        </w:rPr>
        <w:t>2、其他证明材料（如设立批准文件、商业计划书等）。</w:t>
      </w:r>
    </w:p>
    <w:p>
      <w:pPr>
        <w:snapToGrid w:val="0"/>
        <w:spacing w:line="520" w:lineRule="exact"/>
        <w:ind w:firstLine="640"/>
        <w:rPr>
          <w:b/>
          <w:color w:val="auto"/>
          <w:szCs w:val="21"/>
        </w:rPr>
      </w:pPr>
      <w:r>
        <w:rPr>
          <w:rFonts w:hint="eastAsia" w:ascii="仿宋_GB2312"/>
          <w:color w:val="auto"/>
          <w:szCs w:val="32"/>
        </w:rPr>
        <w:t>（七）</w:t>
      </w:r>
      <w:r>
        <w:rPr>
          <w:rFonts w:hint="eastAsia"/>
          <w:b/>
          <w:color w:val="auto"/>
          <w:szCs w:val="21"/>
        </w:rPr>
        <w:t>申请</w:t>
      </w:r>
      <w:r>
        <w:rPr>
          <w:rFonts w:hint="eastAsia" w:ascii="仿宋_GB2312" w:cs="仿宋_GB2312"/>
          <w:b/>
          <w:color w:val="auto"/>
          <w:szCs w:val="32"/>
        </w:rPr>
        <w:t>《办法》</w:t>
      </w:r>
      <w:r>
        <w:rPr>
          <w:rFonts w:hint="eastAsia"/>
          <w:b/>
          <w:color w:val="auto"/>
          <w:szCs w:val="21"/>
        </w:rPr>
        <w:t>第六条第二款总部企业认定的，还须提供如下材料：</w:t>
      </w:r>
    </w:p>
    <w:p>
      <w:pPr>
        <w:snapToGrid w:val="0"/>
        <w:spacing w:line="520" w:lineRule="exact"/>
        <w:ind w:firstLine="640"/>
        <w:rPr>
          <w:rFonts w:ascii="仿宋_GB2312"/>
          <w:color w:val="auto"/>
          <w:szCs w:val="32"/>
        </w:rPr>
      </w:pPr>
      <w:r>
        <w:rPr>
          <w:rFonts w:hint="eastAsia" w:ascii="仿宋_GB2312"/>
          <w:color w:val="auto"/>
          <w:szCs w:val="21"/>
        </w:rPr>
        <w:t>税务部门出具的企业（包括纳入统计核算的控股企业或分支机构）上年度纳税证明复印件</w:t>
      </w:r>
      <w:r>
        <w:rPr>
          <w:rFonts w:hint="eastAsia"/>
          <w:color w:val="auto"/>
          <w:lang w:eastAsia="zh-CN"/>
        </w:rPr>
        <w:t>、上年度</w:t>
      </w:r>
      <w:r>
        <w:rPr>
          <w:rFonts w:hint="eastAsia"/>
          <w:color w:val="auto"/>
          <w:lang w:val="en-US" w:eastAsia="zh-CN"/>
        </w:rPr>
        <w:t>12个月</w:t>
      </w:r>
      <w:r>
        <w:rPr>
          <w:rFonts w:hint="eastAsia" w:ascii="仿宋_GB2312"/>
          <w:color w:val="auto"/>
          <w:szCs w:val="32"/>
          <w:lang w:val="en-US" w:eastAsia="zh-CN"/>
        </w:rPr>
        <w:t>个人所得税税收完税证明复印件</w:t>
      </w:r>
      <w:r>
        <w:rPr>
          <w:rFonts w:hint="eastAsia" w:ascii="仿宋_GB2312"/>
          <w:color w:val="auto"/>
          <w:szCs w:val="32"/>
        </w:rPr>
        <w:t>。</w:t>
      </w:r>
    </w:p>
    <w:p>
      <w:pPr>
        <w:snapToGrid w:val="0"/>
        <w:spacing w:line="520" w:lineRule="exact"/>
        <w:ind w:firstLine="640"/>
        <w:rPr>
          <w:b/>
          <w:color w:val="auto"/>
          <w:szCs w:val="21"/>
        </w:rPr>
      </w:pPr>
      <w:r>
        <w:rPr>
          <w:rFonts w:hint="eastAsia" w:ascii="仿宋_GB2312"/>
          <w:color w:val="auto"/>
          <w:szCs w:val="32"/>
        </w:rPr>
        <w:t>（八）</w:t>
      </w:r>
      <w:r>
        <w:rPr>
          <w:rFonts w:hint="eastAsia"/>
          <w:b/>
          <w:color w:val="auto"/>
          <w:szCs w:val="21"/>
        </w:rPr>
        <w:t>申请</w:t>
      </w:r>
      <w:r>
        <w:rPr>
          <w:rFonts w:hint="eastAsia" w:ascii="仿宋_GB2312" w:cs="仿宋_GB2312"/>
          <w:b/>
          <w:color w:val="auto"/>
          <w:szCs w:val="32"/>
        </w:rPr>
        <w:t>《办法》</w:t>
      </w:r>
      <w:r>
        <w:rPr>
          <w:rFonts w:hint="eastAsia"/>
          <w:b/>
          <w:color w:val="auto"/>
          <w:szCs w:val="21"/>
        </w:rPr>
        <w:t>第六条第三款总部企业认定的，还须提供如下材料：</w:t>
      </w:r>
    </w:p>
    <w:p>
      <w:pPr>
        <w:pStyle w:val="18"/>
        <w:ind w:firstLine="640" w:firstLineChars="200"/>
        <w:rPr>
          <w:strike/>
          <w:dstrike w:val="0"/>
          <w:color w:val="auto"/>
          <w:szCs w:val="21"/>
        </w:rPr>
      </w:pPr>
      <w:r>
        <w:rPr>
          <w:rFonts w:hint="eastAsia"/>
          <w:color w:val="auto"/>
        </w:rPr>
        <w:t>税务部门出具的企业（包括纳入统计核算的控股企业或分支机构）上年度纳税证明复印件</w:t>
      </w:r>
      <w:r>
        <w:rPr>
          <w:rFonts w:hint="eastAsia"/>
          <w:color w:val="auto"/>
          <w:lang w:eastAsia="zh-CN"/>
        </w:rPr>
        <w:t>、上年度</w:t>
      </w:r>
      <w:r>
        <w:rPr>
          <w:rFonts w:hint="eastAsia" w:ascii="仿宋_GB2312" w:hAnsi="仿宋_GB2312" w:eastAsia="仿宋_GB2312" w:cs="仿宋_GB2312"/>
          <w:color w:val="auto"/>
          <w:lang w:val="en-US" w:eastAsia="zh-CN"/>
        </w:rPr>
        <w:t>12</w:t>
      </w:r>
      <w:r>
        <w:rPr>
          <w:rFonts w:hint="eastAsia"/>
          <w:color w:val="auto"/>
          <w:lang w:val="en-US" w:eastAsia="zh-CN"/>
        </w:rPr>
        <w:t>个月</w:t>
      </w:r>
      <w:r>
        <w:rPr>
          <w:rFonts w:hint="eastAsia" w:ascii="仿宋_GB2312"/>
          <w:color w:val="auto"/>
          <w:szCs w:val="32"/>
          <w:lang w:val="en-US" w:eastAsia="zh-CN"/>
        </w:rPr>
        <w:t>个人所得税税收完税证明复印件。</w:t>
      </w:r>
    </w:p>
    <w:p>
      <w:pPr>
        <w:snapToGrid w:val="0"/>
        <w:spacing w:line="520" w:lineRule="exact"/>
        <w:ind w:firstLine="640"/>
        <w:rPr>
          <w:b/>
          <w:color w:val="auto"/>
          <w:szCs w:val="21"/>
        </w:rPr>
      </w:pPr>
      <w:r>
        <w:rPr>
          <w:rFonts w:hint="eastAsia" w:ascii="仿宋_GB2312"/>
          <w:color w:val="auto"/>
          <w:szCs w:val="32"/>
        </w:rPr>
        <w:t>（九）</w:t>
      </w:r>
      <w:r>
        <w:rPr>
          <w:rFonts w:hint="eastAsia"/>
          <w:b/>
          <w:color w:val="auto"/>
          <w:szCs w:val="21"/>
        </w:rPr>
        <w:t>申请</w:t>
      </w:r>
      <w:r>
        <w:rPr>
          <w:rFonts w:hint="eastAsia" w:ascii="仿宋_GB2312" w:cs="仿宋_GB2312"/>
          <w:b/>
          <w:color w:val="auto"/>
          <w:szCs w:val="32"/>
        </w:rPr>
        <w:t>《办法》</w:t>
      </w:r>
      <w:r>
        <w:rPr>
          <w:rFonts w:hint="eastAsia"/>
          <w:b/>
          <w:color w:val="auto"/>
          <w:szCs w:val="21"/>
        </w:rPr>
        <w:t>第六条第四款总部认定的，还需提供如下材料：</w:t>
      </w:r>
    </w:p>
    <w:p>
      <w:pPr>
        <w:snapToGrid w:val="0"/>
        <w:spacing w:line="520" w:lineRule="exact"/>
        <w:ind w:firstLine="640"/>
        <w:rPr>
          <w:rFonts w:ascii="仿宋_GB2312"/>
          <w:color w:val="auto"/>
          <w:szCs w:val="32"/>
        </w:rPr>
      </w:pPr>
      <w:r>
        <w:rPr>
          <w:rFonts w:hint="eastAsia" w:ascii="仿宋_GB2312"/>
          <w:color w:val="auto"/>
          <w:szCs w:val="32"/>
        </w:rPr>
        <w:t>在境内外证券市场上市证明(如</w:t>
      </w:r>
      <w:r>
        <w:rPr>
          <w:rFonts w:hint="eastAsia"/>
          <w:color w:val="auto"/>
        </w:rPr>
        <w:t>证券交易所出具的能够证明该企业已办理上市相关手续的公函复印件)（</w:t>
      </w:r>
      <w:r>
        <w:rPr>
          <w:rFonts w:hint="eastAsia" w:ascii="仿宋_GB2312"/>
          <w:color w:val="auto"/>
          <w:szCs w:val="32"/>
        </w:rPr>
        <w:t>验原件）。</w:t>
      </w:r>
    </w:p>
    <w:p>
      <w:pPr>
        <w:snapToGrid w:val="0"/>
        <w:spacing w:line="520" w:lineRule="exact"/>
        <w:ind w:firstLine="640"/>
        <w:rPr>
          <w:b/>
          <w:color w:val="auto"/>
          <w:szCs w:val="21"/>
        </w:rPr>
      </w:pPr>
      <w:r>
        <w:rPr>
          <w:rFonts w:hint="eastAsia" w:ascii="仿宋_GB2312"/>
          <w:color w:val="auto"/>
          <w:szCs w:val="32"/>
        </w:rPr>
        <w:t>（十）</w:t>
      </w:r>
      <w:r>
        <w:rPr>
          <w:rFonts w:hint="eastAsia"/>
          <w:b/>
          <w:color w:val="auto"/>
          <w:szCs w:val="21"/>
        </w:rPr>
        <w:t>申请</w:t>
      </w:r>
      <w:r>
        <w:rPr>
          <w:rFonts w:hint="eastAsia" w:ascii="仿宋_GB2312" w:cs="仿宋_GB2312"/>
          <w:b/>
          <w:color w:val="auto"/>
          <w:szCs w:val="32"/>
        </w:rPr>
        <w:t>《办法》</w:t>
      </w:r>
      <w:r>
        <w:rPr>
          <w:rFonts w:hint="eastAsia"/>
          <w:b/>
          <w:color w:val="auto"/>
          <w:szCs w:val="21"/>
        </w:rPr>
        <w:t>第六条第五款总部认定的，还需提供如下材料：</w:t>
      </w:r>
    </w:p>
    <w:p>
      <w:pPr>
        <w:snapToGrid w:val="0"/>
        <w:spacing w:line="520" w:lineRule="exact"/>
        <w:ind w:firstLine="640"/>
        <w:rPr>
          <w:rFonts w:ascii="仿宋_GB2312"/>
          <w:color w:val="auto"/>
          <w:szCs w:val="32"/>
        </w:rPr>
      </w:pPr>
      <w:r>
        <w:rPr>
          <w:rFonts w:hint="eastAsia"/>
          <w:color w:val="auto"/>
          <w:szCs w:val="21"/>
        </w:rPr>
        <w:t>市认定证书复印件或相关证明材料。</w:t>
      </w:r>
    </w:p>
    <w:p>
      <w:pPr>
        <w:snapToGrid w:val="0"/>
        <w:spacing w:line="520" w:lineRule="exact"/>
        <w:ind w:firstLine="640"/>
        <w:rPr>
          <w:b/>
          <w:color w:val="auto"/>
          <w:szCs w:val="21"/>
        </w:rPr>
      </w:pPr>
      <w:r>
        <w:rPr>
          <w:rFonts w:hint="eastAsia" w:ascii="仿宋_GB2312"/>
          <w:color w:val="auto"/>
          <w:szCs w:val="32"/>
        </w:rPr>
        <w:t>（十一）</w:t>
      </w:r>
      <w:r>
        <w:rPr>
          <w:rFonts w:hint="eastAsia"/>
          <w:b/>
          <w:color w:val="auto"/>
          <w:szCs w:val="21"/>
        </w:rPr>
        <w:t>申请</w:t>
      </w:r>
      <w:r>
        <w:rPr>
          <w:rFonts w:hint="eastAsia" w:ascii="仿宋_GB2312" w:cs="仿宋_GB2312"/>
          <w:b/>
          <w:color w:val="auto"/>
          <w:szCs w:val="32"/>
        </w:rPr>
        <w:t>《办法》</w:t>
      </w:r>
      <w:r>
        <w:rPr>
          <w:rFonts w:hint="eastAsia"/>
          <w:b/>
          <w:color w:val="auto"/>
          <w:szCs w:val="21"/>
        </w:rPr>
        <w:t>第六条第六款总部认定的，还需提供如下材料：</w:t>
      </w:r>
    </w:p>
    <w:p>
      <w:pPr>
        <w:snapToGrid w:val="0"/>
        <w:spacing w:line="520" w:lineRule="exact"/>
        <w:ind w:firstLine="640"/>
        <w:rPr>
          <w:rFonts w:ascii="仿宋_GB2312"/>
          <w:color w:val="auto"/>
          <w:szCs w:val="32"/>
        </w:rPr>
      </w:pPr>
      <w:r>
        <w:rPr>
          <w:rFonts w:hint="eastAsia" w:ascii="仿宋_GB2312"/>
          <w:color w:val="auto"/>
          <w:szCs w:val="32"/>
        </w:rPr>
        <w:t>与区政府签订的合作协议复印件等材料（验原件）。</w:t>
      </w:r>
    </w:p>
    <w:p>
      <w:pPr>
        <w:snapToGrid w:val="0"/>
        <w:spacing w:line="520" w:lineRule="exact"/>
        <w:ind w:firstLine="640"/>
        <w:rPr>
          <w:rFonts w:ascii="Calibri" w:hAnsi="Calibri"/>
          <w:color w:val="auto"/>
          <w:szCs w:val="22"/>
        </w:rPr>
      </w:pPr>
      <w:r>
        <w:rPr>
          <w:rFonts w:hint="eastAsia" w:ascii="仿宋_GB2312" w:hAnsi="Calibri"/>
          <w:color w:val="auto"/>
          <w:szCs w:val="32"/>
        </w:rPr>
        <w:t>以上材料一式贰份，</w:t>
      </w:r>
      <w:r>
        <w:rPr>
          <w:rFonts w:hint="eastAsia" w:ascii="Calibri" w:hAnsi="Calibri"/>
          <w:color w:val="auto"/>
          <w:szCs w:val="22"/>
        </w:rPr>
        <w:t>编制封面（封面采用申请书的封面）及目录（目录按照申请书中“材料清</w:t>
      </w:r>
      <w:r>
        <w:rPr>
          <w:rFonts w:hint="eastAsia" w:ascii="仿宋_GB2312" w:hAnsi="Calibri"/>
          <w:color w:val="auto"/>
          <w:szCs w:val="22"/>
        </w:rPr>
        <w:t>单”所列“附件”的顺序编写，并标明其在材料中对应的页码），A4纸正</w:t>
      </w:r>
      <w:r>
        <w:rPr>
          <w:rFonts w:hint="eastAsia" w:ascii="Calibri" w:hAnsi="Calibri"/>
          <w:color w:val="auto"/>
          <w:szCs w:val="22"/>
        </w:rPr>
        <w:t>反面打印</w:t>
      </w:r>
      <w:r>
        <w:rPr>
          <w:rFonts w:ascii="Calibri" w:hAnsi="Calibri"/>
          <w:color w:val="auto"/>
          <w:szCs w:val="22"/>
        </w:rPr>
        <w:t>/</w:t>
      </w:r>
      <w:r>
        <w:rPr>
          <w:rFonts w:hint="eastAsia" w:ascii="Calibri" w:hAnsi="Calibri"/>
          <w:color w:val="auto"/>
          <w:szCs w:val="22"/>
        </w:rPr>
        <w:t>复印，非空白页（含封面）需连续编写页码，装订成册（胶装），加盖骑缝章。</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六、申请表格</w:t>
      </w:r>
    </w:p>
    <w:p>
      <w:pPr>
        <w:snapToGrid w:val="0"/>
        <w:spacing w:line="520" w:lineRule="exact"/>
        <w:ind w:firstLine="640"/>
        <w:rPr>
          <w:rFonts w:ascii="仿宋_GB2312"/>
          <w:color w:val="auto"/>
          <w:szCs w:val="32"/>
        </w:rPr>
      </w:pPr>
      <w:r>
        <w:rPr>
          <w:rFonts w:hint="eastAsia" w:ascii="仿宋_GB2312"/>
          <w:color w:val="auto"/>
          <w:szCs w:val="32"/>
        </w:rPr>
        <w:t>《盐田区产业发展资金扶持项目申请书（总部企业认定）》（通知附件可下载相应申请书）。</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七、受理机关、受理时限及地点</w:t>
      </w:r>
    </w:p>
    <w:p>
      <w:pPr>
        <w:snapToGrid w:val="0"/>
        <w:spacing w:line="520" w:lineRule="exact"/>
        <w:ind w:firstLine="640"/>
        <w:rPr>
          <w:rFonts w:ascii="仿宋_GB2312" w:hAnsi="Calibri"/>
          <w:color w:val="auto"/>
          <w:szCs w:val="32"/>
        </w:rPr>
      </w:pPr>
      <w:r>
        <w:rPr>
          <w:rFonts w:hint="eastAsia" w:ascii="仿宋_GB2312" w:hAnsi="Calibri"/>
          <w:color w:val="auto"/>
          <w:szCs w:val="32"/>
        </w:rPr>
        <w:t>（一）受理机关：盐田区工业和信息化局。</w:t>
      </w:r>
    </w:p>
    <w:p>
      <w:pPr>
        <w:snapToGrid w:val="0"/>
        <w:spacing w:line="520" w:lineRule="exact"/>
        <w:ind w:firstLine="640"/>
        <w:rPr>
          <w:rFonts w:ascii="仿宋_GB2312"/>
          <w:color w:val="auto"/>
          <w:szCs w:val="32"/>
        </w:rPr>
      </w:pPr>
      <w:r>
        <w:rPr>
          <w:rFonts w:hint="eastAsia" w:ascii="仿宋_GB2312" w:hAnsi="Calibri"/>
          <w:color w:val="auto"/>
          <w:szCs w:val="32"/>
        </w:rPr>
        <w:t>（二）受理时限：</w:t>
      </w:r>
      <w:r>
        <w:rPr>
          <w:rFonts w:hint="eastAsia" w:ascii="仿宋_GB2312"/>
          <w:color w:val="auto"/>
          <w:szCs w:val="32"/>
        </w:rPr>
        <w:t>当年度10月30日前常年受理，分批次集中认定。受理时间为法定工作日上午9：00-12：00时，下午14：00-18：00时。</w:t>
      </w:r>
    </w:p>
    <w:p>
      <w:pPr>
        <w:snapToGrid w:val="0"/>
        <w:spacing w:line="520" w:lineRule="exact"/>
        <w:ind w:firstLine="640"/>
        <w:rPr>
          <w:rFonts w:ascii="仿宋_GB2312" w:hAnsi="Calibri"/>
          <w:color w:val="auto"/>
          <w:szCs w:val="32"/>
        </w:rPr>
      </w:pPr>
      <w:r>
        <w:rPr>
          <w:rFonts w:hint="eastAsia" w:ascii="仿宋_GB2312" w:hAnsi="Calibri"/>
          <w:color w:val="auto"/>
          <w:szCs w:val="32"/>
        </w:rPr>
        <w:t>（三）联系方式：0755-2522</w:t>
      </w:r>
      <w:r>
        <w:rPr>
          <w:rFonts w:hint="eastAsia" w:ascii="仿宋_GB2312" w:hAnsi="Calibri"/>
          <w:color w:val="auto"/>
          <w:szCs w:val="32"/>
          <w:lang w:val="en-US" w:eastAsia="zh-CN"/>
        </w:rPr>
        <w:t>7187、0755-25160342</w:t>
      </w:r>
      <w:r>
        <w:rPr>
          <w:rFonts w:hint="eastAsia" w:ascii="仿宋_GB2312" w:hAnsi="Calibri"/>
          <w:color w:val="auto"/>
          <w:szCs w:val="32"/>
        </w:rPr>
        <w:t>。</w:t>
      </w:r>
    </w:p>
    <w:p>
      <w:pPr>
        <w:snapToGrid w:val="0"/>
        <w:spacing w:line="520" w:lineRule="exact"/>
        <w:ind w:firstLine="640"/>
        <w:rPr>
          <w:rFonts w:ascii="仿宋_GB2312" w:hAnsi="Calibri"/>
          <w:color w:val="auto"/>
          <w:szCs w:val="32"/>
        </w:rPr>
      </w:pPr>
      <w:r>
        <w:rPr>
          <w:rFonts w:hint="eastAsia" w:ascii="仿宋_GB2312" w:hAnsi="Calibri"/>
          <w:color w:val="auto"/>
          <w:szCs w:val="32"/>
        </w:rPr>
        <w:t>（四）受理地点：盐田区行政中心4楼41</w:t>
      </w:r>
      <w:r>
        <w:rPr>
          <w:rFonts w:hint="eastAsia" w:ascii="仿宋_GB2312" w:hAnsi="Calibri"/>
          <w:color w:val="auto"/>
          <w:szCs w:val="32"/>
          <w:lang w:val="en-US" w:eastAsia="zh-CN"/>
        </w:rPr>
        <w:t>3</w:t>
      </w:r>
      <w:r>
        <w:rPr>
          <w:rFonts w:hint="eastAsia" w:ascii="仿宋_GB2312" w:hAnsi="Calibri"/>
          <w:color w:val="auto"/>
          <w:szCs w:val="32"/>
        </w:rPr>
        <w:t>室。</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八、决定机关</w:t>
      </w:r>
    </w:p>
    <w:p>
      <w:pPr>
        <w:snapToGrid w:val="0"/>
        <w:spacing w:line="520" w:lineRule="exact"/>
        <w:ind w:firstLine="640"/>
        <w:rPr>
          <w:rFonts w:ascii="仿宋_GB2312" w:hAnsi="Calibri"/>
          <w:color w:val="auto"/>
          <w:szCs w:val="32"/>
        </w:rPr>
      </w:pPr>
      <w:r>
        <w:rPr>
          <w:rFonts w:hint="eastAsia" w:ascii="仿宋_GB2312" w:hAnsi="Calibri"/>
          <w:color w:val="auto"/>
          <w:szCs w:val="32"/>
        </w:rPr>
        <w:t>盐田区政府。</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九、办理程序</w:t>
      </w:r>
    </w:p>
    <w:p>
      <w:pPr>
        <w:snapToGrid w:val="0"/>
        <w:spacing w:line="520" w:lineRule="exact"/>
        <w:ind w:firstLine="640"/>
        <w:rPr>
          <w:rFonts w:ascii="仿宋_GB2312" w:hAnsi="Calibri"/>
          <w:color w:val="auto"/>
          <w:szCs w:val="32"/>
        </w:rPr>
      </w:pPr>
      <w:r>
        <w:rPr>
          <w:rFonts w:hint="eastAsia" w:ascii="仿宋_GB2312"/>
          <w:color w:val="auto"/>
          <w:szCs w:val="32"/>
        </w:rPr>
        <w:t>申报单位</w:t>
      </w:r>
      <w:r>
        <w:rPr>
          <w:rFonts w:hint="eastAsia" w:ascii="仿宋_GB2312" w:hAnsi="Calibri"/>
          <w:color w:val="auto"/>
          <w:szCs w:val="32"/>
        </w:rPr>
        <w:t>准备申请材料</w:t>
      </w:r>
      <w:r>
        <w:rPr>
          <w:rFonts w:hint="eastAsia" w:ascii="仿宋_GB2312"/>
          <w:color w:val="auto"/>
          <w:szCs w:val="32"/>
        </w:rPr>
        <w:t>—</w:t>
      </w:r>
      <w:r>
        <w:rPr>
          <w:rFonts w:hint="eastAsia" w:ascii="仿宋_GB2312" w:hAnsi="Calibri"/>
          <w:color w:val="auto"/>
          <w:szCs w:val="32"/>
        </w:rPr>
        <w:t>向</w:t>
      </w:r>
      <w:r>
        <w:rPr>
          <w:rFonts w:hint="eastAsia" w:ascii="仿宋_GB2312"/>
          <w:color w:val="auto"/>
          <w:szCs w:val="32"/>
        </w:rPr>
        <w:t>盐田区工业和信息化局</w:t>
      </w:r>
      <w:r>
        <w:rPr>
          <w:rFonts w:hint="eastAsia" w:ascii="仿宋_GB2312" w:hAnsi="Calibri"/>
          <w:color w:val="auto"/>
          <w:szCs w:val="32"/>
        </w:rPr>
        <w:t>提交申请材料—业务科室进行初审—</w:t>
      </w:r>
      <w:r>
        <w:rPr>
          <w:rFonts w:hint="eastAsia" w:ascii="仿宋_GB2312"/>
          <w:color w:val="auto"/>
          <w:szCs w:val="32"/>
        </w:rPr>
        <w:t>盐田区工业和信息化局征求相关部门意见</w:t>
      </w:r>
      <w:r>
        <w:rPr>
          <w:rFonts w:hint="eastAsia" w:ascii="仿宋_GB2312" w:hAnsi="Calibri"/>
          <w:color w:val="auto"/>
          <w:szCs w:val="32"/>
        </w:rPr>
        <w:t>—公示—发布公告。</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十、收费</w:t>
      </w:r>
    </w:p>
    <w:p>
      <w:pPr>
        <w:snapToGrid w:val="0"/>
        <w:spacing w:line="520" w:lineRule="exact"/>
        <w:ind w:firstLine="640"/>
        <w:rPr>
          <w:rFonts w:ascii="仿宋_GB2312" w:hAnsi="Calibri"/>
          <w:color w:val="auto"/>
          <w:szCs w:val="32"/>
        </w:rPr>
      </w:pPr>
      <w:r>
        <w:rPr>
          <w:rFonts w:hint="eastAsia" w:ascii="仿宋_GB2312" w:hAnsi="Calibri"/>
          <w:color w:val="auto"/>
          <w:szCs w:val="32"/>
        </w:rPr>
        <w:t>不收费。</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十一、资格复核</w:t>
      </w:r>
    </w:p>
    <w:p>
      <w:pPr>
        <w:snapToGrid w:val="0"/>
        <w:spacing w:line="520" w:lineRule="exact"/>
        <w:ind w:firstLine="640"/>
        <w:rPr>
          <w:rFonts w:ascii="仿宋_GB2312" w:hAnsi="Calibri"/>
          <w:color w:val="auto"/>
          <w:szCs w:val="32"/>
        </w:rPr>
      </w:pPr>
      <w:r>
        <w:rPr>
          <w:rFonts w:hint="eastAsia" w:ascii="仿宋_GB2312" w:hAnsi="Calibri"/>
          <w:color w:val="auto"/>
          <w:szCs w:val="32"/>
        </w:rPr>
        <w:t>1、按《办法》第六条第（一）（二）款认定的总部企业在承诺期满未兑现承诺的，总部企业资格自动失效，但可按第六条第（三）款重新申请认定。</w:t>
      </w:r>
    </w:p>
    <w:p>
      <w:pPr>
        <w:snapToGrid w:val="0"/>
        <w:spacing w:line="520" w:lineRule="exact"/>
        <w:ind w:firstLine="640"/>
        <w:rPr>
          <w:rFonts w:ascii="仿宋_GB2312" w:hAnsi="Calibri"/>
          <w:color w:val="auto"/>
          <w:szCs w:val="32"/>
        </w:rPr>
      </w:pPr>
      <w:r>
        <w:rPr>
          <w:rFonts w:hint="eastAsia" w:ascii="仿宋_GB2312" w:hAnsi="Calibri"/>
          <w:color w:val="auto"/>
          <w:szCs w:val="32"/>
        </w:rPr>
        <w:t>2、实施总部企业年度复查和动态调整机制，每年对总部企业经济指标进行一次复查，动态更新区总部企业名录。经复查连续两年不再符合条件的，取消其总部企业资格，两年内不得再申请认定。</w:t>
      </w:r>
    </w:p>
    <w:p>
      <w:pPr>
        <w:snapToGrid w:val="0"/>
        <w:spacing w:line="520" w:lineRule="exact"/>
        <w:ind w:firstLine="640"/>
        <w:rPr>
          <w:rFonts w:ascii="仿宋_GB2312" w:hAnsi="Calibri"/>
          <w:color w:val="auto"/>
          <w:szCs w:val="32"/>
        </w:rPr>
      </w:pPr>
      <w:r>
        <w:rPr>
          <w:rFonts w:hint="eastAsia" w:ascii="仿宋_GB2312" w:hAnsi="Calibri"/>
          <w:color w:val="auto"/>
          <w:szCs w:val="32"/>
        </w:rPr>
        <w:t>3、认定的总部企业发生“关闭、停办、合并、转产”等无法经营，或因重大违法违规行为受到行政或刑事处罚的，取消其总部企业资格。重新申请认定方式同第2条。</w:t>
      </w:r>
    </w:p>
    <w:p>
      <w:pPr>
        <w:snapToGrid w:val="0"/>
        <w:spacing w:line="520" w:lineRule="exact"/>
        <w:ind w:firstLine="640"/>
        <w:rPr>
          <w:rFonts w:ascii="黑体" w:hAnsi="黑体" w:eastAsia="黑体"/>
          <w:color w:val="auto"/>
          <w:szCs w:val="32"/>
        </w:rPr>
      </w:pPr>
      <w:r>
        <w:rPr>
          <w:rFonts w:hint="eastAsia" w:ascii="黑体" w:hAnsi="黑体" w:eastAsia="黑体"/>
          <w:color w:val="auto"/>
          <w:szCs w:val="32"/>
        </w:rPr>
        <w:t>十二、不予认定情况</w:t>
      </w:r>
    </w:p>
    <w:p>
      <w:pPr>
        <w:snapToGrid w:val="0"/>
        <w:spacing w:line="520" w:lineRule="exact"/>
        <w:ind w:firstLine="640"/>
        <w:rPr>
          <w:rFonts w:ascii="仿宋_GB2312" w:hAnsi="Calibri"/>
          <w:color w:val="auto"/>
          <w:szCs w:val="32"/>
        </w:rPr>
      </w:pPr>
      <w:r>
        <w:rPr>
          <w:rFonts w:hint="eastAsia" w:ascii="仿宋_GB2312" w:hAnsi="Calibri"/>
          <w:color w:val="auto"/>
          <w:szCs w:val="32"/>
        </w:rPr>
        <w:t>有下列情形之一的，申请将不予受理，企业将不得获得认定：</w:t>
      </w:r>
    </w:p>
    <w:p>
      <w:pPr>
        <w:snapToGrid w:val="0"/>
        <w:spacing w:line="560" w:lineRule="exact"/>
        <w:ind w:firstLine="640"/>
        <w:rPr>
          <w:rFonts w:hint="eastAsia" w:ascii="仿宋_GB2312" w:hAnsi="Calibri"/>
          <w:color w:val="auto"/>
          <w:szCs w:val="32"/>
          <w:highlight w:val="none"/>
        </w:rPr>
      </w:pPr>
      <w:r>
        <w:rPr>
          <w:rFonts w:hint="eastAsia" w:ascii="仿宋_GB2312" w:hAnsi="Calibri"/>
          <w:color w:val="auto"/>
          <w:szCs w:val="32"/>
          <w:highlight w:val="none"/>
        </w:rPr>
        <w:t>（一）申请资助时企业、机构、单位存在被列入国家黑名单、深圳黑名单、经营异常名录、失信被执行人信息未执行完毕或被列入严重违法失信信息的；</w:t>
      </w:r>
    </w:p>
    <w:p>
      <w:pPr>
        <w:snapToGrid w:val="0"/>
        <w:spacing w:line="560" w:lineRule="exact"/>
        <w:ind w:firstLine="640"/>
        <w:rPr>
          <w:rFonts w:hint="eastAsia" w:ascii="仿宋_GB2312" w:hAnsi="Calibri"/>
          <w:color w:val="auto"/>
          <w:szCs w:val="32"/>
          <w:highlight w:val="none"/>
        </w:rPr>
      </w:pPr>
      <w:r>
        <w:rPr>
          <w:rFonts w:hint="eastAsia" w:ascii="仿宋_GB2312" w:hAnsi="Calibri"/>
          <w:color w:val="auto"/>
          <w:szCs w:val="32"/>
          <w:highlight w:val="none"/>
        </w:rPr>
        <w:t>（二）申请之日前两年内企业、机构、单位存在被处以责令停产停业、暂扣或者吊销许可证、暂扣或者吊销执照行政处罚的；</w:t>
      </w:r>
    </w:p>
    <w:p>
      <w:pPr>
        <w:snapToGrid w:val="0"/>
        <w:spacing w:line="560" w:lineRule="exact"/>
        <w:ind w:firstLine="640"/>
        <w:rPr>
          <w:rFonts w:hint="eastAsia" w:ascii="仿宋_GB2312" w:hAnsi="Calibri"/>
          <w:color w:val="auto"/>
          <w:szCs w:val="32"/>
          <w:highlight w:val="none"/>
        </w:rPr>
      </w:pPr>
      <w:r>
        <w:rPr>
          <w:rFonts w:hint="eastAsia" w:ascii="仿宋_GB2312" w:hAnsi="Calibri"/>
          <w:color w:val="auto"/>
          <w:szCs w:val="32"/>
          <w:highlight w:val="none"/>
        </w:rPr>
        <w:t>（三）申请之日前两年内在盐田区发生一般及以上级别生产安全事故的；</w:t>
      </w:r>
    </w:p>
    <w:p>
      <w:pPr>
        <w:snapToGrid w:val="0"/>
        <w:spacing w:line="560" w:lineRule="exact"/>
        <w:ind w:firstLine="640"/>
        <w:rPr>
          <w:rFonts w:hint="eastAsia" w:ascii="仿宋_GB2312" w:hAnsi="Calibri"/>
          <w:color w:val="auto"/>
          <w:szCs w:val="32"/>
          <w:highlight w:val="none"/>
        </w:rPr>
      </w:pPr>
      <w:r>
        <w:rPr>
          <w:rFonts w:hint="eastAsia" w:ascii="仿宋_GB2312" w:hAnsi="Calibri"/>
          <w:color w:val="auto"/>
          <w:szCs w:val="32"/>
          <w:highlight w:val="none"/>
        </w:rPr>
        <w:t>（四）申请资助时个人存在被纳入失信被执行人名单的；</w:t>
      </w:r>
    </w:p>
    <w:p>
      <w:pPr>
        <w:snapToGrid w:val="0"/>
        <w:spacing w:line="560" w:lineRule="exact"/>
        <w:ind w:firstLine="640"/>
        <w:rPr>
          <w:rFonts w:hint="eastAsia" w:ascii="仿宋_GB2312" w:hAnsi="Calibri"/>
          <w:color w:val="auto"/>
          <w:szCs w:val="32"/>
          <w:highlight w:val="none"/>
        </w:rPr>
      </w:pPr>
      <w:r>
        <w:rPr>
          <w:rFonts w:hint="eastAsia" w:ascii="仿宋_GB2312" w:hAnsi="Calibri"/>
          <w:color w:val="auto"/>
          <w:szCs w:val="32"/>
          <w:highlight w:val="none"/>
        </w:rPr>
        <w:t>（五）区政府规定的其他不予受理的情形。</w:t>
      </w:r>
    </w:p>
    <w:p>
      <w:pPr>
        <w:snapToGrid w:val="0"/>
        <w:spacing w:line="560" w:lineRule="exact"/>
        <w:ind w:firstLine="640"/>
        <w:rPr>
          <w:rFonts w:ascii="黑体" w:hAnsi="Calibri" w:eastAsia="黑体"/>
          <w:color w:val="auto"/>
          <w:szCs w:val="32"/>
        </w:rPr>
      </w:pPr>
      <w:r>
        <w:rPr>
          <w:rFonts w:hint="eastAsia" w:ascii="黑体" w:hAnsi="Calibri" w:eastAsia="黑体"/>
          <w:color w:val="auto"/>
          <w:szCs w:val="32"/>
        </w:rPr>
        <w:t>十三、审核方式</w:t>
      </w:r>
    </w:p>
    <w:p>
      <w:pPr>
        <w:snapToGrid w:val="0"/>
        <w:spacing w:line="520" w:lineRule="exact"/>
        <w:ind w:firstLine="640"/>
        <w:rPr>
          <w:rFonts w:ascii="仿宋_GB2312" w:hAnsi="Calibri"/>
          <w:color w:val="auto"/>
          <w:szCs w:val="32"/>
        </w:rPr>
      </w:pPr>
      <w:r>
        <w:rPr>
          <w:rFonts w:hint="eastAsia" w:ascii="仿宋_GB2312" w:hAnsi="Calibri"/>
          <w:color w:val="auto"/>
          <w:szCs w:val="32"/>
        </w:rPr>
        <w:t>核准制。</w:t>
      </w:r>
    </w:p>
    <w:p>
      <w:pPr>
        <w:keepNext/>
        <w:keepLines/>
        <w:widowControl/>
        <w:spacing w:line="560" w:lineRule="exact"/>
        <w:ind w:firstLine="640" w:firstLineChars="200"/>
        <w:jc w:val="left"/>
        <w:outlineLvl w:val="1"/>
        <w:rPr>
          <w:rFonts w:ascii="Cambria" w:hAnsi="Cambria" w:eastAsia="黑体" w:cstheme="majorBidi"/>
          <w:bCs/>
          <w:color w:val="auto"/>
          <w:kern w:val="0"/>
          <w:szCs w:val="32"/>
        </w:rPr>
      </w:pPr>
      <w:bookmarkStart w:id="6" w:name="_Toc13834541"/>
      <w:bookmarkStart w:id="7" w:name="_Toc13843555"/>
      <w:r>
        <w:rPr>
          <w:rFonts w:hint="eastAsia" w:ascii="Cambria" w:hAnsi="Cambria" w:eastAsia="黑体" w:cstheme="majorBidi"/>
          <w:bCs/>
          <w:color w:val="auto"/>
          <w:kern w:val="0"/>
          <w:szCs w:val="32"/>
        </w:rPr>
        <w:t>十四、有关注意事项</w:t>
      </w:r>
      <w:bookmarkEnd w:id="6"/>
      <w:bookmarkEnd w:id="7"/>
    </w:p>
    <w:p>
      <w:pPr>
        <w:pStyle w:val="4"/>
        <w:ind w:firstLine="640"/>
        <w:rPr>
          <w:color w:val="auto"/>
        </w:rPr>
      </w:pPr>
      <w:bookmarkStart w:id="8" w:name="_Toc13834542"/>
      <w:bookmarkStart w:id="9" w:name="_Toc13843556"/>
      <w:r>
        <w:rPr>
          <w:rFonts w:hint="eastAsia"/>
          <w:color w:val="auto"/>
        </w:rPr>
        <w:t>（一）申请时间</w:t>
      </w:r>
    </w:p>
    <w:p>
      <w:pPr>
        <w:keepNext/>
        <w:keepLines/>
        <w:widowControl/>
        <w:spacing w:line="560" w:lineRule="exact"/>
        <w:ind w:firstLine="640" w:firstLineChars="200"/>
        <w:jc w:val="left"/>
        <w:outlineLvl w:val="2"/>
        <w:rPr>
          <w:rFonts w:ascii="Calibri" w:hAnsi="Calibri" w:eastAsia="楷体_GB2312" w:cs="宋体"/>
          <w:bCs/>
          <w:color w:val="auto"/>
          <w:szCs w:val="32"/>
        </w:rPr>
      </w:pPr>
      <w:r>
        <w:rPr>
          <w:rFonts w:hint="eastAsia" w:ascii="仿宋_GB2312"/>
          <w:color w:val="auto"/>
          <w:szCs w:val="32"/>
        </w:rPr>
        <w:t>新设立或新迁入盐田的企业，须在新设立或新迁入当年度提出认定申请。</w:t>
      </w:r>
    </w:p>
    <w:p>
      <w:pPr>
        <w:pStyle w:val="4"/>
        <w:ind w:firstLine="640"/>
        <w:rPr>
          <w:color w:val="auto"/>
        </w:rPr>
      </w:pPr>
      <w:r>
        <w:rPr>
          <w:rFonts w:hint="eastAsia"/>
          <w:color w:val="auto"/>
        </w:rPr>
        <w:t>（二）企业经济指标统计时间</w:t>
      </w:r>
      <w:bookmarkEnd w:id="8"/>
      <w:bookmarkEnd w:id="9"/>
    </w:p>
    <w:p>
      <w:pPr>
        <w:widowControl/>
        <w:spacing w:line="560" w:lineRule="exact"/>
        <w:ind w:firstLine="640" w:firstLineChars="200"/>
        <w:jc w:val="left"/>
        <w:rPr>
          <w:rFonts w:hint="eastAsia" w:ascii="仿宋_GB2312" w:hAnsi="仿宋_GB2312" w:eastAsia="仿宋_GB2312" w:cs="仿宋_GB2312"/>
          <w:color w:val="auto"/>
          <w:kern w:val="0"/>
          <w:szCs w:val="24"/>
        </w:rPr>
      </w:pPr>
      <w:r>
        <w:rPr>
          <w:rFonts w:hint="eastAsia" w:ascii="宋体" w:hAnsi="宋体" w:cs="宋体"/>
          <w:color w:val="auto"/>
          <w:kern w:val="0"/>
          <w:szCs w:val="24"/>
        </w:rPr>
        <w:t>1、申请</w:t>
      </w:r>
      <w:r>
        <w:rPr>
          <w:rFonts w:hint="eastAsia" w:ascii="仿宋_GB2312" w:hAnsi="仿宋_GB2312" w:eastAsia="仿宋_GB2312" w:cs="仿宋_GB2312"/>
          <w:color w:val="auto"/>
          <w:kern w:val="0"/>
          <w:szCs w:val="24"/>
        </w:rPr>
        <w:t>20</w:t>
      </w:r>
      <w:r>
        <w:rPr>
          <w:rFonts w:hint="eastAsia" w:ascii="仿宋_GB2312" w:hAnsi="仿宋_GB2312" w:eastAsia="仿宋_GB2312" w:cs="仿宋_GB2312"/>
          <w:color w:val="auto"/>
          <w:kern w:val="0"/>
          <w:szCs w:val="24"/>
          <w:lang w:val="en-US" w:eastAsia="zh-CN"/>
        </w:rPr>
        <w:t>21</w:t>
      </w:r>
      <w:r>
        <w:rPr>
          <w:rFonts w:hint="eastAsia" w:ascii="仿宋_GB2312" w:hAnsi="仿宋_GB2312" w:eastAsia="仿宋_GB2312" w:cs="仿宋_GB2312"/>
          <w:color w:val="auto"/>
          <w:kern w:val="0"/>
          <w:szCs w:val="24"/>
        </w:rPr>
        <w:t>年度</w:t>
      </w:r>
      <w:r>
        <w:rPr>
          <w:rFonts w:ascii="宋体" w:hAnsi="宋体" w:cs="宋体"/>
          <w:color w:val="auto"/>
          <w:kern w:val="0"/>
          <w:szCs w:val="24"/>
        </w:rPr>
        <w:t>总部企业认定的，各项经济数</w:t>
      </w:r>
      <w:r>
        <w:rPr>
          <w:rFonts w:hint="eastAsia" w:ascii="仿宋_GB2312" w:hAnsi="仿宋_GB2312" w:eastAsia="仿宋_GB2312" w:cs="仿宋_GB2312"/>
          <w:color w:val="auto"/>
          <w:kern w:val="0"/>
          <w:szCs w:val="24"/>
        </w:rPr>
        <w:t>据以20</w:t>
      </w:r>
      <w:r>
        <w:rPr>
          <w:rFonts w:hint="eastAsia" w:ascii="仿宋_GB2312" w:hAnsi="仿宋_GB2312" w:eastAsia="仿宋_GB2312" w:cs="仿宋_GB2312"/>
          <w:color w:val="auto"/>
          <w:kern w:val="0"/>
          <w:szCs w:val="24"/>
          <w:lang w:val="en-US" w:eastAsia="zh-CN"/>
        </w:rPr>
        <w:t>20</w:t>
      </w:r>
      <w:r>
        <w:rPr>
          <w:rFonts w:hint="eastAsia" w:ascii="仿宋_GB2312" w:hAnsi="仿宋_GB2312" w:eastAsia="仿宋_GB2312" w:cs="仿宋_GB2312"/>
          <w:color w:val="auto"/>
          <w:kern w:val="0"/>
          <w:szCs w:val="24"/>
        </w:rPr>
        <w:t>年1月1日至12月31日报表数额为准。</w:t>
      </w:r>
    </w:p>
    <w:p>
      <w:pPr>
        <w:widowControl/>
        <w:spacing w:line="560" w:lineRule="exact"/>
        <w:ind w:firstLine="640" w:firstLineChars="200"/>
        <w:jc w:val="left"/>
        <w:rPr>
          <w:rFonts w:ascii="仿宋_GB2312"/>
          <w:color w:val="auto"/>
          <w:szCs w:val="32"/>
        </w:rPr>
      </w:pPr>
      <w:r>
        <w:rPr>
          <w:rFonts w:hint="eastAsia" w:ascii="仿宋_GB2312" w:hAnsi="仿宋_GB2312" w:eastAsia="仿宋_GB2312" w:cs="仿宋_GB2312"/>
          <w:color w:val="auto"/>
          <w:kern w:val="0"/>
          <w:szCs w:val="24"/>
        </w:rPr>
        <w:t>2、申请20</w:t>
      </w:r>
      <w:r>
        <w:rPr>
          <w:rFonts w:hint="eastAsia" w:ascii="仿宋_GB2312" w:hAnsi="仿宋_GB2312" w:eastAsia="仿宋_GB2312" w:cs="仿宋_GB2312"/>
          <w:color w:val="auto"/>
          <w:kern w:val="0"/>
          <w:szCs w:val="24"/>
          <w:lang w:val="en-US" w:eastAsia="zh-CN"/>
        </w:rPr>
        <w:t>21</w:t>
      </w:r>
      <w:r>
        <w:rPr>
          <w:rFonts w:hint="eastAsia" w:ascii="仿宋_GB2312" w:hAnsi="仿宋_GB2312" w:eastAsia="仿宋_GB2312" w:cs="仿宋_GB2312"/>
          <w:color w:val="auto"/>
          <w:kern w:val="0"/>
          <w:szCs w:val="24"/>
        </w:rPr>
        <w:t>年度总部企业认定的，承诺认定次年形成的区级财政贡献，是指20</w:t>
      </w:r>
      <w:r>
        <w:rPr>
          <w:rFonts w:hint="eastAsia" w:ascii="仿宋_GB2312" w:hAnsi="仿宋_GB2312" w:eastAsia="仿宋_GB2312" w:cs="仿宋_GB2312"/>
          <w:color w:val="auto"/>
          <w:kern w:val="0"/>
          <w:szCs w:val="24"/>
          <w:lang w:val="en-US" w:eastAsia="zh-CN"/>
        </w:rPr>
        <w:t>22</w:t>
      </w:r>
      <w:r>
        <w:rPr>
          <w:rFonts w:hint="eastAsia" w:ascii="仿宋_GB2312" w:hAnsi="仿宋_GB2312" w:eastAsia="仿宋_GB2312" w:cs="仿宋_GB2312"/>
          <w:color w:val="auto"/>
          <w:kern w:val="0"/>
          <w:szCs w:val="24"/>
        </w:rPr>
        <w:t>年1月1日至12月31日的区级财</w:t>
      </w:r>
      <w:r>
        <w:rPr>
          <w:rFonts w:hint="eastAsia" w:ascii="宋体" w:hAnsi="宋体" w:cs="宋体"/>
          <w:color w:val="auto"/>
          <w:kern w:val="0"/>
          <w:szCs w:val="24"/>
        </w:rPr>
        <w:t>政贡献。</w:t>
      </w:r>
    </w:p>
    <w:p>
      <w:pPr>
        <w:keepNext/>
        <w:keepLines/>
        <w:widowControl/>
        <w:spacing w:line="560" w:lineRule="exact"/>
        <w:ind w:firstLine="640" w:firstLineChars="200"/>
        <w:jc w:val="left"/>
        <w:outlineLvl w:val="2"/>
        <w:rPr>
          <w:rFonts w:ascii="Calibri" w:hAnsi="Calibri" w:eastAsia="楷体_GB2312" w:cs="宋体"/>
          <w:bCs/>
          <w:color w:val="auto"/>
          <w:szCs w:val="32"/>
        </w:rPr>
      </w:pPr>
      <w:bookmarkStart w:id="10" w:name="_Toc13843557"/>
      <w:bookmarkStart w:id="11" w:name="_Toc13834543"/>
      <w:r>
        <w:rPr>
          <w:rFonts w:hint="eastAsia" w:ascii="Calibri" w:hAnsi="Calibri" w:eastAsia="楷体_GB2312" w:cs="宋体"/>
          <w:bCs/>
          <w:color w:val="auto"/>
          <w:szCs w:val="32"/>
        </w:rPr>
        <w:t>（二）企业经济指标统计口径</w:t>
      </w:r>
      <w:bookmarkEnd w:id="10"/>
      <w:bookmarkEnd w:id="11"/>
    </w:p>
    <w:p>
      <w:pPr>
        <w:widowControl/>
        <w:spacing w:line="560" w:lineRule="exact"/>
        <w:ind w:firstLine="640" w:firstLineChars="200"/>
        <w:jc w:val="left"/>
        <w:rPr>
          <w:rFonts w:ascii="宋体" w:hAnsi="宋体" w:cs="宋体"/>
          <w:color w:val="auto"/>
          <w:kern w:val="0"/>
          <w:szCs w:val="24"/>
        </w:rPr>
      </w:pPr>
      <w:r>
        <w:rPr>
          <w:rFonts w:ascii="宋体" w:hAnsi="宋体" w:cs="宋体"/>
          <w:color w:val="auto"/>
          <w:kern w:val="0"/>
          <w:szCs w:val="24"/>
        </w:rPr>
        <w:t>1、总部企业所形成区</w:t>
      </w:r>
      <w:r>
        <w:rPr>
          <w:rFonts w:hint="eastAsia" w:ascii="宋体" w:hAnsi="宋体" w:cs="宋体"/>
          <w:color w:val="auto"/>
          <w:kern w:val="0"/>
          <w:szCs w:val="24"/>
        </w:rPr>
        <w:t>级财政贡献以</w:t>
      </w:r>
      <w:r>
        <w:rPr>
          <w:rFonts w:hint="eastAsia" w:ascii="仿宋_GB2312" w:cs="仿宋_GB2312"/>
          <w:color w:val="auto"/>
          <w:szCs w:val="32"/>
        </w:rPr>
        <w:t>申报企业独立法人（含分支机构）及其控股</w:t>
      </w:r>
      <w:r>
        <w:rPr>
          <w:rFonts w:ascii="仿宋_GB2312" w:cs="仿宋_GB2312"/>
          <w:color w:val="auto"/>
          <w:szCs w:val="32"/>
        </w:rPr>
        <w:t>50%</w:t>
      </w:r>
      <w:r>
        <w:rPr>
          <w:rFonts w:hint="eastAsia" w:ascii="仿宋_GB2312" w:cs="仿宋_GB2312"/>
          <w:color w:val="auto"/>
          <w:szCs w:val="32"/>
        </w:rPr>
        <w:t>（含）以上在本区注册的一级、二级子公司作为统计核算口径，各年度股权关系以当年</w:t>
      </w:r>
      <w:r>
        <w:rPr>
          <w:rFonts w:ascii="仿宋_GB2312" w:cs="仿宋_GB2312"/>
          <w:color w:val="auto"/>
          <w:szCs w:val="32"/>
        </w:rPr>
        <w:t>12</w:t>
      </w:r>
      <w:r>
        <w:rPr>
          <w:rFonts w:hint="eastAsia" w:ascii="仿宋_GB2312" w:cs="仿宋_GB2312"/>
          <w:color w:val="auto"/>
          <w:szCs w:val="32"/>
        </w:rPr>
        <w:t>月</w:t>
      </w:r>
      <w:r>
        <w:rPr>
          <w:rFonts w:ascii="仿宋_GB2312" w:cs="仿宋_GB2312"/>
          <w:color w:val="auto"/>
          <w:szCs w:val="32"/>
        </w:rPr>
        <w:t>31</w:t>
      </w:r>
      <w:r>
        <w:rPr>
          <w:rFonts w:hint="eastAsia" w:ascii="仿宋_GB2312" w:cs="仿宋_GB2312"/>
          <w:color w:val="auto"/>
          <w:szCs w:val="32"/>
        </w:rPr>
        <w:t>日股权登记状况为准</w:t>
      </w:r>
      <w:r>
        <w:rPr>
          <w:rFonts w:ascii="宋体" w:hAnsi="宋体" w:cs="宋体"/>
          <w:color w:val="auto"/>
          <w:kern w:val="0"/>
          <w:szCs w:val="24"/>
        </w:rPr>
        <w:t>（需提供隶属关系证明）</w:t>
      </w:r>
      <w:r>
        <w:rPr>
          <w:rFonts w:hint="eastAsia" w:ascii="仿宋_GB2312" w:cs="仿宋_GB2312"/>
          <w:color w:val="auto"/>
          <w:szCs w:val="32"/>
        </w:rPr>
        <w:t>。经区政府研究同意的其他情况除外。</w:t>
      </w:r>
    </w:p>
    <w:p>
      <w:pPr>
        <w:widowControl/>
        <w:spacing w:line="560" w:lineRule="exact"/>
        <w:ind w:firstLine="640" w:firstLineChars="200"/>
        <w:jc w:val="left"/>
        <w:rPr>
          <w:rFonts w:ascii="宋体" w:hAnsi="宋体" w:cs="宋体"/>
          <w:color w:val="auto"/>
          <w:kern w:val="0"/>
          <w:szCs w:val="24"/>
        </w:rPr>
      </w:pPr>
      <w:r>
        <w:rPr>
          <w:rFonts w:hint="eastAsia" w:ascii="宋体" w:hAnsi="宋体" w:cs="宋体"/>
          <w:color w:val="auto"/>
          <w:kern w:val="0"/>
          <w:szCs w:val="24"/>
        </w:rPr>
        <w:t>2、</w:t>
      </w:r>
      <w:r>
        <w:rPr>
          <w:rFonts w:ascii="宋体" w:hAnsi="宋体" w:cs="宋体"/>
          <w:color w:val="auto"/>
          <w:kern w:val="0"/>
          <w:szCs w:val="24"/>
        </w:rPr>
        <w:t>盐田区计算的区</w:t>
      </w:r>
      <w:r>
        <w:rPr>
          <w:rFonts w:hint="eastAsia" w:ascii="宋体" w:hAnsi="宋体" w:cs="宋体"/>
          <w:color w:val="auto"/>
          <w:kern w:val="0"/>
          <w:szCs w:val="24"/>
        </w:rPr>
        <w:t>级财政贡献</w:t>
      </w:r>
      <w:r>
        <w:rPr>
          <w:rFonts w:ascii="宋体" w:hAnsi="宋体" w:cs="宋体"/>
          <w:color w:val="auto"/>
          <w:kern w:val="0"/>
          <w:szCs w:val="24"/>
        </w:rPr>
        <w:t>主要是</w:t>
      </w:r>
      <w:r>
        <w:rPr>
          <w:rFonts w:hint="eastAsia" w:ascii="宋体" w:hAnsi="宋体" w:cs="宋体"/>
          <w:color w:val="auto"/>
          <w:kern w:val="0"/>
          <w:szCs w:val="24"/>
        </w:rPr>
        <w:t>指申报企业在本区缴纳的税款入库期内，增值税、企业所得税或其他税种等计入区级地方分成的部分。</w:t>
      </w:r>
      <w:r>
        <w:rPr>
          <w:rFonts w:ascii="宋体" w:hAnsi="宋体" w:cs="宋体"/>
          <w:color w:val="auto"/>
          <w:kern w:val="0"/>
          <w:szCs w:val="24"/>
        </w:rPr>
        <w:t>最终结果以</w:t>
      </w:r>
      <w:r>
        <w:rPr>
          <w:rFonts w:hint="eastAsia" w:ascii="宋体" w:hAnsi="宋体" w:cs="宋体"/>
          <w:color w:val="auto"/>
          <w:kern w:val="0"/>
          <w:szCs w:val="24"/>
        </w:rPr>
        <w:t>盐田区财政局</w:t>
      </w:r>
      <w:r>
        <w:rPr>
          <w:rFonts w:ascii="宋体" w:hAnsi="宋体" w:cs="宋体"/>
          <w:color w:val="auto"/>
          <w:kern w:val="0"/>
          <w:szCs w:val="24"/>
        </w:rPr>
        <w:t>正式核算为准。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hAnsi="宋体" w:eastAsia="仿宋_GB2312"/>
          <w:color w:val="auto"/>
          <w:sz w:val="32"/>
          <w:szCs w:val="32"/>
        </w:rPr>
        <w:t>3、</w:t>
      </w:r>
      <w:r>
        <w:rPr>
          <w:rFonts w:hint="eastAsia" w:ascii="仿宋_GB2312" w:eastAsia="仿宋_GB2312" w:cs="仿宋_GB2312"/>
          <w:color w:val="auto"/>
          <w:sz w:val="32"/>
          <w:szCs w:val="32"/>
        </w:rPr>
        <w:t>申报企业的下属公司独立提出申请享受总部企业支持政策的，其下属公司在本区形成区级财政贡献不再重复计入作为上级公司的申报企业。</w:t>
      </w:r>
    </w:p>
    <w:p>
      <w:pPr>
        <w:pStyle w:val="27"/>
        <w:spacing w:line="560" w:lineRule="atLeast"/>
        <w:ind w:firstLine="640" w:firstLineChars="200"/>
        <w:jc w:val="both"/>
        <w:rPr>
          <w:rFonts w:ascii="楷体_GB2312" w:eastAsia="楷体_GB2312" w:cs="仿宋_GB2312"/>
          <w:color w:val="auto"/>
          <w:sz w:val="32"/>
          <w:szCs w:val="32"/>
        </w:rPr>
      </w:pPr>
      <w:r>
        <w:rPr>
          <w:rFonts w:hint="eastAsia" w:ascii="楷体_GB2312" w:eastAsia="楷体_GB2312" w:cs="仿宋_GB2312"/>
          <w:color w:val="auto"/>
          <w:sz w:val="32"/>
          <w:szCs w:val="32"/>
        </w:rPr>
        <w:t>（三）履行相关承诺</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经认定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pStyle w:val="27"/>
        <w:spacing w:line="560" w:lineRule="atLeast"/>
        <w:ind w:firstLine="640" w:firstLineChars="200"/>
        <w:jc w:val="both"/>
        <w:rPr>
          <w:rFonts w:ascii="仿宋_GB2312" w:eastAsia="仿宋_GB2312" w:cs="仿宋_GB2312"/>
          <w:color w:val="auto"/>
          <w:sz w:val="32"/>
          <w:szCs w:val="32"/>
        </w:rPr>
      </w:pPr>
    </w:p>
    <w:p>
      <w:pPr>
        <w:widowControl/>
        <w:jc w:val="left"/>
        <w:rPr>
          <w:rFonts w:eastAsia="方正小标宋简体" w:asciiTheme="minorHAnsi" w:hAnsiTheme="minorHAnsi" w:cstheme="minorBidi"/>
          <w:bCs/>
          <w:color w:val="auto"/>
          <w:kern w:val="44"/>
          <w:sz w:val="44"/>
          <w:szCs w:val="44"/>
        </w:rPr>
      </w:pPr>
      <w:r>
        <w:rPr>
          <w:color w:val="auto"/>
        </w:rPr>
        <w:br w:type="page"/>
      </w:r>
    </w:p>
    <w:p>
      <w:pPr>
        <w:pStyle w:val="2"/>
        <w:rPr>
          <w:color w:val="auto"/>
        </w:rPr>
      </w:pPr>
      <w:bookmarkStart w:id="12" w:name="_Toc13843558"/>
      <w:r>
        <w:rPr>
          <w:rFonts w:hint="eastAsia"/>
          <w:color w:val="auto"/>
        </w:rPr>
        <w:t>盐田区总部企业经济贡献奖励申报指南</w:t>
      </w:r>
      <w:bookmarkEnd w:id="12"/>
    </w:p>
    <w:p>
      <w:pPr>
        <w:snapToGrid w:val="0"/>
        <w:spacing w:line="520" w:lineRule="exact"/>
        <w:ind w:firstLine="640"/>
        <w:rPr>
          <w:rFonts w:ascii="黑体" w:hAnsi="Calibri" w:eastAsia="黑体"/>
          <w:color w:val="auto"/>
          <w:szCs w:val="32"/>
        </w:rPr>
      </w:pP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一、申请内容</w:t>
      </w:r>
    </w:p>
    <w:p>
      <w:pPr>
        <w:snapToGrid w:val="0"/>
        <w:spacing w:line="520" w:lineRule="exact"/>
        <w:ind w:firstLine="640"/>
        <w:rPr>
          <w:color w:val="auto"/>
          <w:szCs w:val="32"/>
        </w:rPr>
      </w:pPr>
      <w:r>
        <w:rPr>
          <w:rFonts w:hint="eastAsia"/>
          <w:color w:val="auto"/>
          <w:szCs w:val="32"/>
        </w:rPr>
        <w:t>对经认定的盐田区总部企业，根据其对盐田区的经济贡献给予认定或增量奖励。</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二、设定依据</w:t>
      </w:r>
    </w:p>
    <w:p>
      <w:pPr>
        <w:snapToGrid w:val="0"/>
        <w:spacing w:line="520" w:lineRule="exact"/>
        <w:ind w:firstLine="640"/>
        <w:rPr>
          <w:rFonts w:ascii="仿宋_GB2312" w:hAnsi="Calibri"/>
          <w:color w:val="auto"/>
          <w:szCs w:val="32"/>
        </w:rPr>
      </w:pPr>
      <w:r>
        <w:rPr>
          <w:rFonts w:hint="eastAsia" w:ascii="仿宋_GB2312" w:hAnsi="Calibri"/>
          <w:color w:val="auto"/>
          <w:szCs w:val="32"/>
        </w:rPr>
        <w:t>（</w:t>
      </w:r>
      <w:r>
        <w:rPr>
          <w:rFonts w:hint="eastAsia" w:ascii="仿宋_GB2312" w:hAnsi="Calibri"/>
          <w:color w:val="auto"/>
          <w:szCs w:val="32"/>
          <w:highlight w:val="none"/>
        </w:rPr>
        <w:t>一）《盐田区产业发展资金管理规定的通知》，盐田区人民政府，深盐府规〔2020〕1号</w:t>
      </w:r>
      <w:r>
        <w:rPr>
          <w:rFonts w:hint="eastAsia" w:ascii="仿宋_GB2312" w:hAnsi="Calibri"/>
          <w:color w:val="auto"/>
          <w:szCs w:val="32"/>
        </w:rPr>
        <w:t>；</w:t>
      </w:r>
    </w:p>
    <w:p>
      <w:pPr>
        <w:snapToGrid w:val="0"/>
        <w:spacing w:line="520" w:lineRule="exact"/>
        <w:ind w:firstLine="640"/>
        <w:rPr>
          <w:rFonts w:ascii="仿宋_GB2312" w:hAnsi="Calibri"/>
          <w:color w:val="auto"/>
          <w:szCs w:val="32"/>
        </w:rPr>
      </w:pPr>
      <w:r>
        <w:rPr>
          <w:rFonts w:hint="eastAsia" w:ascii="仿宋_GB2312" w:hAnsi="Calibri"/>
          <w:color w:val="auto"/>
          <w:szCs w:val="32"/>
        </w:rPr>
        <w:t>（二）《</w:t>
      </w:r>
      <w:r>
        <w:rPr>
          <w:rFonts w:hint="eastAsia"/>
          <w:color w:val="auto"/>
          <w:szCs w:val="32"/>
        </w:rPr>
        <w:t>盐田区支持总部企业发展实施办法</w:t>
      </w:r>
      <w:r>
        <w:rPr>
          <w:rFonts w:hint="eastAsia" w:ascii="仿宋_GB2312" w:hAnsi="Calibri"/>
          <w:color w:val="auto"/>
          <w:szCs w:val="32"/>
        </w:rPr>
        <w:t>》，盐田区人民政府，深盐府规〔2019〕5号。</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三、办理条件</w:t>
      </w:r>
    </w:p>
    <w:p>
      <w:pPr>
        <w:snapToGrid w:val="0"/>
        <w:spacing w:line="520" w:lineRule="exact"/>
        <w:ind w:firstLine="640"/>
        <w:rPr>
          <w:rFonts w:ascii="仿宋_GB2312" w:hAnsi="Calibri"/>
          <w:color w:val="auto"/>
          <w:szCs w:val="32"/>
        </w:rPr>
      </w:pPr>
      <w:r>
        <w:rPr>
          <w:rFonts w:hint="eastAsia" w:ascii="仿宋_GB2312" w:hAnsi="Calibri"/>
          <w:color w:val="auto"/>
          <w:szCs w:val="32"/>
        </w:rPr>
        <w:t>申请该项目企业应当符合以下条件：</w:t>
      </w:r>
    </w:p>
    <w:p>
      <w:pPr>
        <w:snapToGrid w:val="0"/>
        <w:spacing w:line="520" w:lineRule="exact"/>
        <w:ind w:firstLine="640"/>
        <w:rPr>
          <w:rFonts w:ascii="仿宋_GB2312" w:hAnsi="Calibri"/>
          <w:color w:val="auto"/>
          <w:szCs w:val="32"/>
        </w:rPr>
      </w:pPr>
      <w:r>
        <w:rPr>
          <w:rFonts w:hint="eastAsia" w:ascii="仿宋_GB2312" w:hAnsi="Calibri"/>
          <w:color w:val="auto"/>
          <w:szCs w:val="32"/>
        </w:rPr>
        <w:t>（一）申报单位应当是在盐田区注册并具有独立法人资格的企业；</w:t>
      </w:r>
    </w:p>
    <w:p>
      <w:pPr>
        <w:snapToGrid w:val="0"/>
        <w:spacing w:line="520" w:lineRule="exact"/>
        <w:ind w:firstLine="640"/>
        <w:rPr>
          <w:rFonts w:ascii="仿宋_GB2312"/>
          <w:color w:val="auto"/>
          <w:szCs w:val="32"/>
        </w:rPr>
      </w:pPr>
      <w:r>
        <w:rPr>
          <w:rFonts w:hint="eastAsia" w:ascii="仿宋_GB2312"/>
          <w:color w:val="auto"/>
          <w:szCs w:val="32"/>
        </w:rPr>
        <w:t>（二）产权关系明晰，依法经营，诚实守信；</w:t>
      </w:r>
    </w:p>
    <w:p>
      <w:pPr>
        <w:snapToGrid w:val="0"/>
        <w:spacing w:line="520" w:lineRule="exact"/>
        <w:ind w:firstLine="640"/>
        <w:rPr>
          <w:rFonts w:ascii="仿宋_GB2312"/>
          <w:color w:val="auto"/>
          <w:szCs w:val="32"/>
        </w:rPr>
      </w:pPr>
      <w:r>
        <w:rPr>
          <w:rFonts w:hint="eastAsia" w:ascii="仿宋_GB2312"/>
          <w:color w:val="auto"/>
          <w:szCs w:val="32"/>
        </w:rPr>
        <w:t>（三）有严格的财务管理制度和健全的会计核算体系；</w:t>
      </w:r>
    </w:p>
    <w:p>
      <w:pPr>
        <w:snapToGrid w:val="0"/>
        <w:spacing w:line="520" w:lineRule="exact"/>
        <w:ind w:firstLine="640"/>
        <w:rPr>
          <w:rFonts w:ascii="仿宋_GB2312"/>
          <w:color w:val="auto"/>
          <w:szCs w:val="32"/>
        </w:rPr>
      </w:pPr>
      <w:r>
        <w:rPr>
          <w:rFonts w:hint="eastAsia" w:ascii="仿宋_GB2312"/>
          <w:color w:val="auto"/>
          <w:szCs w:val="32"/>
        </w:rPr>
        <w:t xml:space="preserve">（四）统计关系原则上在盐田区，依法报送统计报表； </w:t>
      </w:r>
    </w:p>
    <w:p>
      <w:pPr>
        <w:snapToGrid w:val="0"/>
        <w:spacing w:line="520" w:lineRule="exact"/>
        <w:ind w:firstLine="640"/>
        <w:rPr>
          <w:rFonts w:ascii="仿宋_GB2312"/>
          <w:color w:val="auto"/>
          <w:szCs w:val="32"/>
        </w:rPr>
      </w:pPr>
      <w:r>
        <w:rPr>
          <w:rFonts w:hint="eastAsia" w:ascii="仿宋_GB2312"/>
          <w:color w:val="auto"/>
          <w:szCs w:val="32"/>
        </w:rPr>
        <w:t>（五）经认定的盐田区总部企业。</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四、</w:t>
      </w:r>
      <w:r>
        <w:rPr>
          <w:rFonts w:hint="eastAsia" w:ascii="黑体" w:hAnsi="黑体" w:eastAsia="黑体"/>
          <w:color w:val="auto"/>
          <w:szCs w:val="32"/>
        </w:rPr>
        <w:t>奖励标准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（一）</w:t>
      </w:r>
      <w:r>
        <w:rPr>
          <w:rFonts w:hint="eastAsia" w:ascii="仿宋_GB2312" w:eastAsia="仿宋_GB2312" w:cs="仿宋_GB2312"/>
          <w:color w:val="auto"/>
          <w:sz w:val="32"/>
          <w:szCs w:val="32"/>
        </w:rPr>
        <w:t>符合《盐田区支持总部企业发展实施办法》（以下简称《办法》）第六条第（一）（二）款规定条件的总部企业，在申请认定次年实现其承诺区级财政贡献的，按次年形成区级财政贡献总额的</w:t>
      </w:r>
      <w:r>
        <w:rPr>
          <w:rFonts w:ascii="仿宋_GB2312" w:eastAsia="仿宋_GB2312" w:cs="仿宋_GB2312"/>
          <w:color w:val="auto"/>
          <w:sz w:val="32"/>
          <w:szCs w:val="32"/>
        </w:rPr>
        <w:t>50%</w:t>
      </w:r>
      <w:r>
        <w:rPr>
          <w:rFonts w:hint="eastAsia" w:ascii="仿宋_GB2312" w:eastAsia="仿宋_GB2312" w:cs="仿宋_GB2312"/>
          <w:color w:val="auto"/>
          <w:sz w:val="32"/>
          <w:szCs w:val="32"/>
        </w:rPr>
        <w:t>，给予一次性最高不超过6000万元的认定奖励，分两年发放，每年不超过3000万元。认定后第三年起可按第九条规定享受增量奖励。</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已享受过区招商引资政策一次性资助、落户奖励的企业，对总部经济认定奖励金额超过招商引资落户奖励的部分予以补充奖励。</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（二）</w:t>
      </w:r>
      <w:r>
        <w:rPr>
          <w:rFonts w:hint="eastAsia" w:ascii="仿宋_GB2312" w:eastAsia="仿宋_GB2312" w:cs="仿宋_GB2312"/>
          <w:color w:val="auto"/>
          <w:sz w:val="32"/>
          <w:szCs w:val="32"/>
        </w:rPr>
        <w:t>符合《办法》第六条第（三）（四）（六）款规定条件的总部企业，从认定次年起连续三年给予资金扶持，扶持资金为该企业在区形成财政贡献相对于上一年度增量部分的30%，上一年度形成区级财政贡献不足1000万元的，按1000万元计算，每年扶持金额最高不超过1000万元。</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（三）</w:t>
      </w:r>
      <w:r>
        <w:rPr>
          <w:rFonts w:hint="eastAsia" w:ascii="仿宋_GB2312" w:eastAsia="仿宋_GB2312" w:cs="仿宋_GB2312"/>
          <w:color w:val="auto"/>
          <w:sz w:val="32"/>
          <w:szCs w:val="32"/>
        </w:rPr>
        <w:t>在我区的市级总部企业，经营不满一年的按《办法》第八条标准给予扶持，经营超过一年的按《办法》第九条标准给予扶持。</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五、申请材料</w:t>
      </w:r>
    </w:p>
    <w:p>
      <w:pPr>
        <w:snapToGrid w:val="0"/>
        <w:spacing w:line="520" w:lineRule="exact"/>
        <w:ind w:firstLine="640"/>
        <w:rPr>
          <w:rFonts w:ascii="仿宋_GB2312"/>
          <w:color w:val="auto"/>
          <w:szCs w:val="32"/>
        </w:rPr>
      </w:pPr>
      <w:r>
        <w:rPr>
          <w:rFonts w:hint="eastAsia" w:ascii="仿宋_GB2312"/>
          <w:color w:val="auto"/>
          <w:szCs w:val="32"/>
        </w:rPr>
        <w:t>（一）《盐田区产业发展资金扶持项目申请书（总部企业经济贡献奖励）》（通知附件可下载相应申请书）原件及电子文档，原件为在电脑上按要求填写后打印生成的纸质文件原件（需签字盖章），电子文档为填写后的Word版电子文档（电子文档需发邮件至ytcyzj@yantian.gov.cn）；</w:t>
      </w:r>
    </w:p>
    <w:p>
      <w:pPr>
        <w:snapToGrid w:val="0"/>
        <w:spacing w:line="520" w:lineRule="exact"/>
        <w:ind w:firstLine="640"/>
        <w:rPr>
          <w:rFonts w:ascii="仿宋_GB2312"/>
          <w:color w:val="auto"/>
          <w:szCs w:val="32"/>
        </w:rPr>
      </w:pPr>
      <w:r>
        <w:rPr>
          <w:rFonts w:hint="eastAsia" w:ascii="仿宋_GB2312"/>
          <w:color w:val="auto"/>
          <w:szCs w:val="32"/>
        </w:rPr>
        <w:t>（二）营业执照复印件。</w:t>
      </w:r>
    </w:p>
    <w:p>
      <w:pPr>
        <w:snapToGrid w:val="0"/>
        <w:spacing w:line="520" w:lineRule="exact"/>
        <w:ind w:firstLine="640"/>
        <w:rPr>
          <w:rFonts w:ascii="仿宋_GB2312"/>
          <w:color w:val="auto"/>
          <w:szCs w:val="32"/>
        </w:rPr>
      </w:pPr>
      <w:r>
        <w:rPr>
          <w:rFonts w:hint="eastAsia" w:ascii="仿宋_GB2312"/>
          <w:color w:val="auto"/>
          <w:szCs w:val="32"/>
        </w:rPr>
        <w:t>（三）法人代表身份证复印件（法定代表人签字）或法人委托书原件及代理人身份证复印件。</w:t>
      </w:r>
    </w:p>
    <w:p>
      <w:pPr>
        <w:snapToGrid w:val="0"/>
        <w:spacing w:line="520" w:lineRule="exact"/>
        <w:ind w:firstLine="640"/>
        <w:rPr>
          <w:rFonts w:ascii="仿宋_GB2312"/>
          <w:color w:val="auto"/>
          <w:szCs w:val="32"/>
        </w:rPr>
      </w:pPr>
      <w:r>
        <w:rPr>
          <w:rFonts w:hint="eastAsia" w:ascii="仿宋_GB2312"/>
          <w:color w:val="auto"/>
          <w:szCs w:val="32"/>
        </w:rPr>
        <w:t>（四）纳入统计核算的控股企业或分支机构营业执照复印件、与本企业的隶属关系证明。</w:t>
      </w:r>
    </w:p>
    <w:p>
      <w:pPr>
        <w:snapToGrid w:val="0"/>
        <w:spacing w:line="520" w:lineRule="exact"/>
        <w:ind w:firstLine="640"/>
        <w:rPr>
          <w:rFonts w:ascii="仿宋_GB2312"/>
          <w:color w:val="auto"/>
          <w:szCs w:val="32"/>
        </w:rPr>
      </w:pPr>
      <w:r>
        <w:rPr>
          <w:rFonts w:hint="eastAsia" w:ascii="仿宋_GB2312"/>
          <w:color w:val="auto"/>
          <w:szCs w:val="32"/>
        </w:rPr>
        <w:t>（五）盐田区总部企业认定证明复印件。</w:t>
      </w:r>
    </w:p>
    <w:p>
      <w:pPr>
        <w:snapToGrid w:val="0"/>
        <w:spacing w:line="520" w:lineRule="exact"/>
        <w:ind w:firstLine="640"/>
        <w:rPr>
          <w:rFonts w:ascii="仿宋_GB2312"/>
          <w:color w:val="auto"/>
          <w:szCs w:val="32"/>
        </w:rPr>
      </w:pPr>
      <w:r>
        <w:rPr>
          <w:rFonts w:hint="eastAsia" w:ascii="仿宋_GB2312"/>
          <w:color w:val="auto"/>
          <w:szCs w:val="32"/>
        </w:rPr>
        <w:t>（六）承诺书（通知附件可下载相应承诺书）。</w:t>
      </w:r>
    </w:p>
    <w:p>
      <w:pPr>
        <w:snapToGrid w:val="0"/>
        <w:spacing w:line="520" w:lineRule="exact"/>
        <w:ind w:firstLine="640"/>
        <w:rPr>
          <w:rFonts w:ascii="仿宋_GB2312"/>
          <w:b/>
          <w:color w:val="auto"/>
          <w:szCs w:val="32"/>
        </w:rPr>
      </w:pPr>
      <w:r>
        <w:rPr>
          <w:rFonts w:hint="eastAsia" w:ascii="仿宋_GB2312"/>
          <w:color w:val="auto"/>
          <w:szCs w:val="32"/>
        </w:rPr>
        <w:t>（七）</w:t>
      </w:r>
      <w:r>
        <w:rPr>
          <w:rFonts w:hint="eastAsia" w:ascii="仿宋_GB2312"/>
          <w:b/>
          <w:color w:val="auto"/>
          <w:szCs w:val="32"/>
        </w:rPr>
        <w:t>申请《办法》第八条认定奖励的，还须提供以下资料：</w:t>
      </w:r>
    </w:p>
    <w:p>
      <w:pPr>
        <w:snapToGrid w:val="0"/>
        <w:spacing w:line="520" w:lineRule="exact"/>
        <w:ind w:firstLine="640"/>
        <w:rPr>
          <w:rFonts w:ascii="仿宋_GB2312"/>
          <w:color w:val="auto"/>
          <w:szCs w:val="32"/>
        </w:rPr>
      </w:pPr>
      <w:r>
        <w:rPr>
          <w:rFonts w:hint="eastAsia" w:ascii="仿宋_GB2312"/>
          <w:color w:val="auto"/>
          <w:szCs w:val="32"/>
        </w:rPr>
        <w:t>税务部门出具的企业（包括纳入统计核算的控股企业或分支机构）纳税证明复印件</w:t>
      </w:r>
      <w:r>
        <w:rPr>
          <w:rFonts w:hint="eastAsia" w:ascii="仿宋_GB2312"/>
          <w:color w:val="auto"/>
          <w:szCs w:val="32"/>
          <w:lang w:eastAsia="zh-CN"/>
        </w:rPr>
        <w:t>，</w:t>
      </w:r>
      <w:r>
        <w:rPr>
          <w:rFonts w:hint="eastAsia" w:ascii="仿宋_GB2312"/>
          <w:color w:val="auto"/>
          <w:szCs w:val="32"/>
        </w:rPr>
        <w:t>纳税期限为认定次年1月1日-12月31日</w:t>
      </w:r>
      <w:r>
        <w:rPr>
          <w:rFonts w:hint="eastAsia" w:ascii="仿宋_GB2312"/>
          <w:color w:val="auto"/>
          <w:szCs w:val="32"/>
          <w:lang w:eastAsia="zh-CN"/>
        </w:rPr>
        <w:t>；</w:t>
      </w:r>
      <w:r>
        <w:rPr>
          <w:rFonts w:hint="eastAsia" w:ascii="仿宋_GB2312"/>
          <w:color w:val="auto"/>
          <w:szCs w:val="32"/>
          <w:lang w:val="en-US" w:eastAsia="zh-CN"/>
        </w:rPr>
        <w:t>以及上年度个人所得税税收完税证明复印件（从迁入盐田后的月份计算起，且税收完税证明上税务机关需为盐田区税务局）</w:t>
      </w:r>
      <w:r>
        <w:rPr>
          <w:rFonts w:hint="eastAsia" w:ascii="仿宋_GB2312"/>
          <w:color w:val="auto"/>
          <w:szCs w:val="32"/>
        </w:rPr>
        <w:t>。</w:t>
      </w:r>
    </w:p>
    <w:p>
      <w:pPr>
        <w:snapToGrid w:val="0"/>
        <w:spacing w:line="520" w:lineRule="exact"/>
        <w:ind w:firstLine="640"/>
        <w:rPr>
          <w:rFonts w:ascii="仿宋_GB2312"/>
          <w:b/>
          <w:color w:val="auto"/>
          <w:szCs w:val="32"/>
        </w:rPr>
      </w:pPr>
      <w:r>
        <w:rPr>
          <w:rFonts w:hint="eastAsia" w:ascii="仿宋_GB2312"/>
          <w:color w:val="auto"/>
          <w:szCs w:val="32"/>
        </w:rPr>
        <w:t>（八）</w:t>
      </w:r>
      <w:r>
        <w:rPr>
          <w:rFonts w:hint="eastAsia" w:ascii="仿宋_GB2312"/>
          <w:b/>
          <w:color w:val="auto"/>
          <w:szCs w:val="32"/>
        </w:rPr>
        <w:t>申请《办法》第九条增量奖励的，还须提供以下资料：</w:t>
      </w:r>
    </w:p>
    <w:p>
      <w:pPr>
        <w:snapToGrid w:val="0"/>
        <w:spacing w:line="520" w:lineRule="exact"/>
        <w:ind w:firstLine="640"/>
        <w:rPr>
          <w:rFonts w:ascii="仿宋_GB2312"/>
          <w:color w:val="auto"/>
          <w:szCs w:val="21"/>
        </w:rPr>
      </w:pPr>
      <w:r>
        <w:rPr>
          <w:rFonts w:hint="eastAsia" w:ascii="仿宋_GB2312"/>
          <w:color w:val="auto"/>
          <w:szCs w:val="21"/>
        </w:rPr>
        <w:t>税务部门出具的企业</w:t>
      </w:r>
      <w:r>
        <w:rPr>
          <w:rFonts w:hint="eastAsia" w:ascii="仿宋_GB2312"/>
          <w:color w:val="auto"/>
          <w:szCs w:val="32"/>
        </w:rPr>
        <w:t>（包括纳入统计核算的控股企业或分支机构）</w:t>
      </w:r>
      <w:r>
        <w:rPr>
          <w:rFonts w:hint="eastAsia" w:ascii="仿宋_GB2312"/>
          <w:color w:val="auto"/>
          <w:szCs w:val="21"/>
        </w:rPr>
        <w:t>近三年度纳税证明复印件</w:t>
      </w:r>
      <w:r>
        <w:rPr>
          <w:rFonts w:hint="eastAsia" w:ascii="仿宋_GB2312"/>
          <w:color w:val="auto"/>
          <w:szCs w:val="32"/>
          <w:lang w:val="en-US" w:eastAsia="zh-CN"/>
        </w:rPr>
        <w:t>及个人所得税税收完税证明复印件，成立</w:t>
      </w:r>
      <w:r>
        <w:rPr>
          <w:rFonts w:hint="eastAsia" w:ascii="仿宋_GB2312"/>
          <w:color w:val="auto"/>
          <w:szCs w:val="21"/>
        </w:rPr>
        <w:t>不足三年的，按实际年度提供。</w:t>
      </w:r>
    </w:p>
    <w:p>
      <w:pPr>
        <w:snapToGrid w:val="0"/>
        <w:spacing w:line="520" w:lineRule="exact"/>
        <w:ind w:firstLine="640"/>
        <w:rPr>
          <w:rFonts w:ascii="Calibri" w:hAnsi="Calibri"/>
          <w:color w:val="auto"/>
          <w:szCs w:val="22"/>
        </w:rPr>
      </w:pPr>
      <w:r>
        <w:rPr>
          <w:rFonts w:hint="eastAsia" w:ascii="仿宋_GB2312" w:hAnsi="Calibri"/>
          <w:color w:val="auto"/>
          <w:szCs w:val="32"/>
        </w:rPr>
        <w:t>以上材料一式贰份，</w:t>
      </w:r>
      <w:r>
        <w:rPr>
          <w:rFonts w:hint="eastAsia" w:ascii="Calibri" w:hAnsi="Calibri"/>
          <w:color w:val="auto"/>
          <w:szCs w:val="22"/>
        </w:rPr>
        <w:t>编制封面（封面采用申请书的封面）及目录（目录按照申请书中“材料清</w:t>
      </w:r>
      <w:r>
        <w:rPr>
          <w:rFonts w:hint="eastAsia" w:ascii="仿宋_GB2312" w:hAnsi="Calibri"/>
          <w:color w:val="auto"/>
          <w:szCs w:val="22"/>
        </w:rPr>
        <w:t>单”所列“附件”的顺序编写，并标明其在材料中对应的页码），A4纸正</w:t>
      </w:r>
      <w:r>
        <w:rPr>
          <w:rFonts w:hint="eastAsia" w:ascii="Calibri" w:hAnsi="Calibri"/>
          <w:color w:val="auto"/>
          <w:szCs w:val="22"/>
        </w:rPr>
        <w:t>反面打印</w:t>
      </w:r>
      <w:r>
        <w:rPr>
          <w:rFonts w:ascii="Calibri" w:hAnsi="Calibri"/>
          <w:color w:val="auto"/>
          <w:szCs w:val="22"/>
        </w:rPr>
        <w:t>/</w:t>
      </w:r>
      <w:r>
        <w:rPr>
          <w:rFonts w:hint="eastAsia" w:ascii="Calibri" w:hAnsi="Calibri"/>
          <w:color w:val="auto"/>
          <w:szCs w:val="22"/>
        </w:rPr>
        <w:t>复印，非空白页（含封面）需连续编写页码，装订成册（胶装），加盖骑缝章。</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六、申请表格</w:t>
      </w:r>
    </w:p>
    <w:p>
      <w:pPr>
        <w:snapToGrid w:val="0"/>
        <w:spacing w:line="520" w:lineRule="exact"/>
        <w:ind w:firstLine="640"/>
        <w:rPr>
          <w:rFonts w:ascii="仿宋_GB2312"/>
          <w:color w:val="auto"/>
          <w:szCs w:val="32"/>
        </w:rPr>
      </w:pPr>
      <w:r>
        <w:rPr>
          <w:rFonts w:hint="eastAsia" w:ascii="仿宋_GB2312"/>
          <w:color w:val="auto"/>
          <w:szCs w:val="32"/>
        </w:rPr>
        <w:t>《盐田区产业发展资金扶持项目申请书（总部企业经济贡献奖励）》（通知附件可下载相应申请书）。</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七、受理机关、受理时限及地点</w:t>
      </w:r>
    </w:p>
    <w:p>
      <w:pPr>
        <w:snapToGrid w:val="0"/>
        <w:spacing w:line="520" w:lineRule="exact"/>
        <w:ind w:firstLine="640"/>
        <w:rPr>
          <w:rFonts w:ascii="仿宋_GB2312" w:hAnsi="Calibri"/>
          <w:color w:val="auto"/>
          <w:szCs w:val="32"/>
        </w:rPr>
      </w:pPr>
      <w:r>
        <w:rPr>
          <w:rFonts w:hint="eastAsia" w:ascii="仿宋_GB2312" w:hAnsi="Calibri"/>
          <w:color w:val="auto"/>
          <w:szCs w:val="32"/>
        </w:rPr>
        <w:t>（一）受理机关：盐田区工业和信息化局。</w:t>
      </w:r>
    </w:p>
    <w:p>
      <w:pPr>
        <w:snapToGrid w:val="0"/>
        <w:spacing w:line="520" w:lineRule="exact"/>
        <w:ind w:firstLine="640"/>
        <w:rPr>
          <w:rFonts w:ascii="仿宋_GB2312"/>
          <w:color w:val="auto"/>
          <w:szCs w:val="32"/>
        </w:rPr>
      </w:pPr>
      <w:r>
        <w:rPr>
          <w:rFonts w:hint="eastAsia" w:ascii="仿宋_GB2312" w:hAnsi="Calibri"/>
          <w:color w:val="auto"/>
          <w:szCs w:val="32"/>
        </w:rPr>
        <w:t>（二）受理时限：</w:t>
      </w:r>
      <w:r>
        <w:rPr>
          <w:rFonts w:hint="eastAsia" w:ascii="仿宋_GB2312"/>
          <w:color w:val="auto"/>
          <w:szCs w:val="32"/>
        </w:rPr>
        <w:t>分批次开展受理工作。受理时间为法定工作日上午9：00-12：00时，下午14：00-18：00时。10月30日后提出申请的，次年实施资助。</w:t>
      </w:r>
    </w:p>
    <w:p>
      <w:pPr>
        <w:snapToGrid w:val="0"/>
        <w:spacing w:line="520" w:lineRule="exact"/>
        <w:ind w:firstLine="640"/>
        <w:rPr>
          <w:rFonts w:ascii="仿宋_GB2312" w:hAnsi="Calibri"/>
          <w:color w:val="auto"/>
          <w:szCs w:val="32"/>
        </w:rPr>
      </w:pPr>
      <w:r>
        <w:rPr>
          <w:rFonts w:hint="eastAsia" w:ascii="仿宋_GB2312" w:hAnsi="Calibri"/>
          <w:color w:val="auto"/>
          <w:szCs w:val="32"/>
        </w:rPr>
        <w:t>（三）联系方式：0755-2522</w:t>
      </w:r>
      <w:r>
        <w:rPr>
          <w:rFonts w:hint="eastAsia" w:ascii="仿宋_GB2312" w:hAnsi="Calibri"/>
          <w:color w:val="auto"/>
          <w:szCs w:val="32"/>
          <w:lang w:val="en-US" w:eastAsia="zh-CN"/>
        </w:rPr>
        <w:t>7187、0755-25160342</w:t>
      </w:r>
      <w:r>
        <w:rPr>
          <w:rFonts w:hint="eastAsia" w:ascii="仿宋_GB2312" w:hAnsi="Calibri"/>
          <w:color w:val="auto"/>
          <w:szCs w:val="32"/>
        </w:rPr>
        <w:t>。</w:t>
      </w:r>
    </w:p>
    <w:p>
      <w:pPr>
        <w:snapToGrid w:val="0"/>
        <w:spacing w:line="520" w:lineRule="exact"/>
        <w:ind w:firstLine="640"/>
        <w:rPr>
          <w:rFonts w:ascii="仿宋_GB2312" w:hAnsi="Calibri"/>
          <w:color w:val="auto"/>
          <w:szCs w:val="32"/>
        </w:rPr>
      </w:pPr>
      <w:r>
        <w:rPr>
          <w:rFonts w:hint="eastAsia" w:ascii="仿宋_GB2312" w:hAnsi="Calibri"/>
          <w:color w:val="auto"/>
          <w:szCs w:val="32"/>
        </w:rPr>
        <w:t>（四）受理地点：盐田区行政中心4楼41</w:t>
      </w:r>
      <w:r>
        <w:rPr>
          <w:rFonts w:hint="eastAsia" w:ascii="仿宋_GB2312" w:hAnsi="Calibri"/>
          <w:color w:val="auto"/>
          <w:szCs w:val="32"/>
          <w:lang w:val="en-US" w:eastAsia="zh-CN"/>
        </w:rPr>
        <w:t>3</w:t>
      </w:r>
      <w:r>
        <w:rPr>
          <w:rFonts w:hint="eastAsia" w:ascii="仿宋_GB2312" w:hAnsi="Calibri"/>
          <w:color w:val="auto"/>
          <w:szCs w:val="32"/>
        </w:rPr>
        <w:t>室。</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八、决定机关</w:t>
      </w:r>
    </w:p>
    <w:p>
      <w:pPr>
        <w:snapToGrid w:val="0"/>
        <w:spacing w:line="520" w:lineRule="exact"/>
        <w:ind w:firstLine="640"/>
        <w:rPr>
          <w:rFonts w:ascii="仿宋_GB2312" w:hAnsi="Calibri"/>
          <w:color w:val="auto"/>
          <w:szCs w:val="32"/>
        </w:rPr>
      </w:pPr>
      <w:r>
        <w:rPr>
          <w:rFonts w:hint="eastAsia" w:ascii="仿宋_GB2312" w:hAnsi="Calibri"/>
          <w:color w:val="auto"/>
          <w:szCs w:val="32"/>
        </w:rPr>
        <w:t>盐田区政府。</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九、办理程序</w:t>
      </w:r>
    </w:p>
    <w:p>
      <w:pPr>
        <w:snapToGrid w:val="0"/>
        <w:spacing w:line="520" w:lineRule="exact"/>
        <w:ind w:firstLine="640"/>
        <w:rPr>
          <w:rFonts w:ascii="仿宋_GB2312" w:hAnsi="Calibri"/>
          <w:color w:val="auto"/>
          <w:szCs w:val="32"/>
        </w:rPr>
      </w:pPr>
      <w:r>
        <w:rPr>
          <w:rFonts w:hint="eastAsia" w:ascii="仿宋_GB2312"/>
          <w:color w:val="auto"/>
          <w:szCs w:val="32"/>
        </w:rPr>
        <w:t>申报单位</w:t>
      </w:r>
      <w:r>
        <w:rPr>
          <w:rFonts w:hint="eastAsia" w:ascii="仿宋_GB2312" w:hAnsi="Calibri"/>
          <w:color w:val="auto"/>
          <w:szCs w:val="32"/>
        </w:rPr>
        <w:t>准备申请材料</w:t>
      </w:r>
      <w:r>
        <w:rPr>
          <w:rFonts w:hint="eastAsia" w:ascii="仿宋_GB2312"/>
          <w:color w:val="auto"/>
          <w:szCs w:val="32"/>
        </w:rPr>
        <w:t>—</w:t>
      </w:r>
      <w:r>
        <w:rPr>
          <w:rFonts w:hint="eastAsia" w:ascii="仿宋_GB2312" w:hAnsi="Calibri"/>
          <w:color w:val="auto"/>
          <w:szCs w:val="32"/>
        </w:rPr>
        <w:t>向</w:t>
      </w:r>
      <w:r>
        <w:rPr>
          <w:rFonts w:hint="eastAsia" w:ascii="仿宋_GB2312"/>
          <w:color w:val="auto"/>
          <w:szCs w:val="32"/>
        </w:rPr>
        <w:t>盐田区工业和信息化局</w:t>
      </w:r>
      <w:r>
        <w:rPr>
          <w:rFonts w:hint="eastAsia" w:ascii="仿宋_GB2312" w:hAnsi="Calibri"/>
          <w:color w:val="auto"/>
          <w:szCs w:val="32"/>
        </w:rPr>
        <w:t>提交申请材料—业务科室进行初审—</w:t>
      </w:r>
      <w:r>
        <w:rPr>
          <w:rFonts w:hint="eastAsia" w:ascii="仿宋_GB2312"/>
          <w:color w:val="auto"/>
          <w:szCs w:val="32"/>
        </w:rPr>
        <w:t>盐田区工业和信息化局核准项目并形成资金扶持初步方案</w:t>
      </w:r>
      <w:r>
        <w:rPr>
          <w:rFonts w:hint="eastAsia" w:ascii="仿宋_GB2312" w:hAnsi="Calibri"/>
          <w:color w:val="auto"/>
          <w:szCs w:val="32"/>
        </w:rPr>
        <w:t>—按盐田区产业发展资金管理相关流程进行报批和公示—申报单位在收到拨款通知之日起5个工作日内提交拨付申请—</w:t>
      </w:r>
      <w:r>
        <w:rPr>
          <w:rFonts w:hint="eastAsia" w:ascii="仿宋_GB2312"/>
          <w:color w:val="auto"/>
          <w:szCs w:val="32"/>
        </w:rPr>
        <w:t>盐田区工业和信息化局</w:t>
      </w:r>
      <w:r>
        <w:rPr>
          <w:rFonts w:hint="eastAsia" w:ascii="仿宋_GB2312" w:hAnsi="Calibri"/>
          <w:color w:val="auto"/>
          <w:szCs w:val="32"/>
        </w:rPr>
        <w:t>拨付资金。</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十、收费</w:t>
      </w:r>
    </w:p>
    <w:p>
      <w:pPr>
        <w:snapToGrid w:val="0"/>
        <w:spacing w:line="520" w:lineRule="exact"/>
        <w:ind w:firstLine="640"/>
        <w:rPr>
          <w:rFonts w:ascii="仿宋_GB2312" w:hAnsi="Calibri"/>
          <w:color w:val="auto"/>
          <w:szCs w:val="32"/>
        </w:rPr>
      </w:pPr>
      <w:r>
        <w:rPr>
          <w:rFonts w:hint="eastAsia" w:ascii="仿宋_GB2312" w:hAnsi="Calibri"/>
          <w:color w:val="auto"/>
          <w:szCs w:val="32"/>
        </w:rPr>
        <w:t>不收费。</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十一、资格复核</w:t>
      </w:r>
    </w:p>
    <w:p>
      <w:pPr>
        <w:snapToGrid w:val="0"/>
        <w:spacing w:line="520" w:lineRule="exact"/>
        <w:ind w:firstLine="640"/>
        <w:rPr>
          <w:rFonts w:ascii="仿宋_GB2312" w:hAnsi="Calibri"/>
          <w:color w:val="auto"/>
          <w:szCs w:val="32"/>
        </w:rPr>
      </w:pPr>
      <w:r>
        <w:rPr>
          <w:rFonts w:hint="eastAsia" w:ascii="仿宋_GB2312" w:hAnsi="Calibri"/>
          <w:color w:val="auto"/>
          <w:szCs w:val="32"/>
        </w:rPr>
        <w:t>1、按《办法》第六条第（一）（二）款认定的总部企业在承诺期满未兑现承诺的，总部企业资格自动失效，不可申请经济贡献奖励，但可按第六条第（三）款重新申请认定。重新申请认定后可继续申请增量奖励。</w:t>
      </w:r>
    </w:p>
    <w:p>
      <w:pPr>
        <w:snapToGrid w:val="0"/>
        <w:spacing w:line="520" w:lineRule="exact"/>
        <w:ind w:firstLine="640"/>
        <w:rPr>
          <w:rFonts w:ascii="仿宋_GB2312" w:hAnsi="Calibri"/>
          <w:color w:val="auto"/>
          <w:szCs w:val="32"/>
        </w:rPr>
      </w:pPr>
      <w:r>
        <w:rPr>
          <w:rFonts w:hint="eastAsia" w:ascii="仿宋_GB2312" w:hAnsi="Calibri"/>
          <w:color w:val="auto"/>
          <w:szCs w:val="32"/>
        </w:rPr>
        <w:t>2、实施总部企业年度复查和动态调整机制，每年对总部企业经济指标进行一次复查，动态更新区总部企业名录。经复查连续两年不再符合条件的，取消其总部企业资格，两年内不得再申请认定。满两年后符合条件的，可重新申请认定，但再次认定所获扶持资金须扣除已享受过的扶持金额。</w:t>
      </w:r>
    </w:p>
    <w:p>
      <w:pPr>
        <w:snapToGrid w:val="0"/>
        <w:spacing w:line="520" w:lineRule="exact"/>
        <w:ind w:firstLine="640"/>
        <w:rPr>
          <w:rFonts w:ascii="仿宋_GB2312" w:hAnsi="Calibri"/>
          <w:color w:val="auto"/>
          <w:szCs w:val="32"/>
        </w:rPr>
      </w:pPr>
      <w:r>
        <w:rPr>
          <w:rFonts w:hint="eastAsia" w:ascii="仿宋_GB2312" w:hAnsi="Calibri"/>
          <w:color w:val="auto"/>
          <w:szCs w:val="32"/>
        </w:rPr>
        <w:t>3、认定的总部企业发生“关闭、停办、合并、转产”等无法经营，或因重大违法违规行为受到行政或刑事处罚的，取消其总部企业资格。重新申请认定方式同第2条。</w:t>
      </w:r>
    </w:p>
    <w:p>
      <w:pPr>
        <w:snapToGrid w:val="0"/>
        <w:spacing w:line="560" w:lineRule="exact"/>
        <w:ind w:firstLine="640"/>
        <w:rPr>
          <w:rFonts w:ascii="黑体" w:hAnsi="Calibri" w:eastAsia="黑体"/>
          <w:color w:val="auto"/>
          <w:szCs w:val="32"/>
        </w:rPr>
      </w:pPr>
      <w:r>
        <w:rPr>
          <w:rFonts w:hint="eastAsia" w:ascii="黑体" w:hAnsi="黑体" w:eastAsia="黑体" w:cs="仿宋_GB2312"/>
          <w:bCs/>
          <w:color w:val="auto"/>
          <w:szCs w:val="32"/>
        </w:rPr>
        <w:t>十二、</w:t>
      </w:r>
      <w:r>
        <w:rPr>
          <w:rFonts w:hint="eastAsia" w:ascii="黑体" w:hAnsi="Calibri" w:eastAsia="黑体"/>
          <w:color w:val="auto"/>
          <w:szCs w:val="32"/>
        </w:rPr>
        <w:t>有效期限</w:t>
      </w:r>
    </w:p>
    <w:p>
      <w:pPr>
        <w:snapToGrid w:val="0"/>
        <w:spacing w:line="560" w:lineRule="exact"/>
        <w:ind w:firstLine="640" w:firstLineChars="200"/>
        <w:rPr>
          <w:rFonts w:ascii="黑体" w:hAnsi="黑体" w:eastAsia="黑体" w:cs="仿宋_GB2312"/>
          <w:bCs/>
          <w:color w:val="auto"/>
          <w:szCs w:val="32"/>
        </w:rPr>
      </w:pPr>
      <w:r>
        <w:rPr>
          <w:rFonts w:hint="eastAsia" w:ascii="仿宋_GB2312" w:hAnsi="Calibri"/>
          <w:color w:val="auto"/>
          <w:szCs w:val="32"/>
        </w:rPr>
        <w:t>申请人应当在收到拨款通知之日起5个工作日内，提交拨付申请。</w:t>
      </w:r>
    </w:p>
    <w:p>
      <w:pPr>
        <w:snapToGrid w:val="0"/>
        <w:spacing w:line="520" w:lineRule="exact"/>
        <w:ind w:firstLine="640"/>
        <w:rPr>
          <w:rFonts w:ascii="黑体" w:hAnsi="黑体" w:eastAsia="黑体"/>
          <w:color w:val="auto"/>
          <w:szCs w:val="32"/>
        </w:rPr>
      </w:pPr>
      <w:r>
        <w:rPr>
          <w:rFonts w:hint="eastAsia" w:ascii="黑体" w:hAnsi="黑体" w:eastAsia="黑体"/>
          <w:color w:val="auto"/>
          <w:szCs w:val="32"/>
        </w:rPr>
        <w:t>十三、不予受理及资助情况</w:t>
      </w:r>
    </w:p>
    <w:p>
      <w:pPr>
        <w:snapToGrid w:val="0"/>
        <w:spacing w:line="520" w:lineRule="exact"/>
        <w:ind w:firstLine="640"/>
        <w:rPr>
          <w:rFonts w:ascii="仿宋_GB2312" w:hAnsi="Calibri"/>
          <w:color w:val="auto"/>
          <w:szCs w:val="32"/>
        </w:rPr>
      </w:pPr>
      <w:r>
        <w:rPr>
          <w:rFonts w:hint="eastAsia" w:ascii="仿宋_GB2312" w:hAnsi="Calibri"/>
          <w:color w:val="auto"/>
          <w:szCs w:val="32"/>
        </w:rPr>
        <w:t>有下列情形之一的，申请将不予受理，项目将不得获得资助：</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（一）申请资助时企业、机构、单位存在被列入国家黑名单、深圳黑名单、经营异常名录、失信被执行人信息未执行完毕或被列入严重违法失信信息的；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（二）申请之日前两年内企业、机构、单位存在被处以责令停产停业、暂扣或者吊销许可证、暂扣或者吊销执照行政处罚的；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（三）申请之日前两年内在盐田区发生一般及以上级别生产安全事故的；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（四）申请资助时个人存在被纳入失信被执行人名单的；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（五）区政府规定的其他不予受理的情形。</w:t>
      </w:r>
    </w:p>
    <w:p>
      <w:pPr>
        <w:snapToGrid w:val="0"/>
        <w:spacing w:line="560" w:lineRule="exact"/>
        <w:ind w:firstLine="640"/>
        <w:rPr>
          <w:rFonts w:ascii="黑体" w:hAnsi="Calibri" w:eastAsia="黑体"/>
          <w:color w:val="auto"/>
          <w:szCs w:val="32"/>
        </w:rPr>
      </w:pPr>
      <w:r>
        <w:rPr>
          <w:rFonts w:hint="eastAsia" w:ascii="黑体" w:hAnsi="Calibri" w:eastAsia="黑体"/>
          <w:color w:val="auto"/>
          <w:szCs w:val="32"/>
        </w:rPr>
        <w:t>十四、审核方式</w:t>
      </w:r>
    </w:p>
    <w:p>
      <w:pPr>
        <w:snapToGrid w:val="0"/>
        <w:spacing w:line="520" w:lineRule="exact"/>
        <w:ind w:firstLine="640"/>
        <w:rPr>
          <w:rFonts w:ascii="仿宋_GB2312" w:hAnsi="Calibri"/>
          <w:color w:val="auto"/>
          <w:szCs w:val="32"/>
        </w:rPr>
      </w:pPr>
      <w:r>
        <w:rPr>
          <w:rFonts w:hint="eastAsia" w:ascii="仿宋_GB2312" w:hAnsi="Calibri"/>
          <w:color w:val="auto"/>
          <w:szCs w:val="32"/>
        </w:rPr>
        <w:t>核准制。</w:t>
      </w:r>
    </w:p>
    <w:p>
      <w:pPr>
        <w:keepNext/>
        <w:keepLines/>
        <w:widowControl/>
        <w:spacing w:line="560" w:lineRule="exact"/>
        <w:ind w:firstLine="640" w:firstLineChars="200"/>
        <w:jc w:val="left"/>
        <w:outlineLvl w:val="1"/>
        <w:rPr>
          <w:rFonts w:ascii="Cambria" w:hAnsi="Cambria" w:eastAsia="黑体" w:cstheme="majorBidi"/>
          <w:bCs/>
          <w:color w:val="auto"/>
          <w:kern w:val="0"/>
          <w:szCs w:val="32"/>
        </w:rPr>
      </w:pPr>
      <w:bookmarkStart w:id="13" w:name="_Toc13834545"/>
      <w:bookmarkStart w:id="14" w:name="_Toc13843559"/>
      <w:r>
        <w:rPr>
          <w:rFonts w:hint="eastAsia" w:ascii="Cambria" w:hAnsi="Cambria" w:eastAsia="黑体" w:cstheme="majorBidi"/>
          <w:bCs/>
          <w:color w:val="auto"/>
          <w:kern w:val="0"/>
          <w:szCs w:val="32"/>
        </w:rPr>
        <w:t>十五、有关注意事项</w:t>
      </w:r>
      <w:bookmarkEnd w:id="13"/>
      <w:bookmarkEnd w:id="14"/>
    </w:p>
    <w:p>
      <w:pPr>
        <w:snapToGrid w:val="0"/>
        <w:spacing w:line="520" w:lineRule="exact"/>
        <w:ind w:firstLine="640"/>
        <w:rPr>
          <w:rFonts w:ascii="Calibri" w:hAnsi="Calibri" w:eastAsia="楷体_GB2312" w:cs="宋体"/>
          <w:bCs/>
          <w:color w:val="auto"/>
          <w:szCs w:val="32"/>
        </w:rPr>
      </w:pPr>
      <w:bookmarkStart w:id="15" w:name="_Toc13834546"/>
      <w:r>
        <w:rPr>
          <w:rFonts w:hint="eastAsia" w:ascii="Calibri" w:hAnsi="Calibri" w:eastAsia="楷体_GB2312" w:cs="宋体"/>
          <w:bCs/>
          <w:color w:val="auto"/>
          <w:szCs w:val="32"/>
        </w:rPr>
        <w:t>（一）申请时间及资助金额</w:t>
      </w:r>
    </w:p>
    <w:p>
      <w:pPr>
        <w:snapToGrid w:val="0"/>
        <w:spacing w:line="520" w:lineRule="exact"/>
        <w:ind w:firstLine="640"/>
        <w:rPr>
          <w:rFonts w:ascii="仿宋_GB2312"/>
          <w:color w:val="auto"/>
          <w:szCs w:val="32"/>
        </w:rPr>
      </w:pPr>
      <w:r>
        <w:rPr>
          <w:rFonts w:hint="eastAsia" w:ascii="仿宋_GB2312"/>
          <w:color w:val="auto"/>
          <w:szCs w:val="32"/>
        </w:rPr>
        <w:t>1、申请《办法》第八条认定奖励的企业，可在实现承诺区级财政贡献</w:t>
      </w:r>
      <w:r>
        <w:rPr>
          <w:rFonts w:hint="eastAsia" w:ascii="仿宋_GB2312"/>
          <w:color w:val="auto"/>
          <w:szCs w:val="32"/>
          <w:lang w:val="en-US" w:eastAsia="zh-CN"/>
        </w:rPr>
        <w:t>后</w:t>
      </w:r>
      <w:r>
        <w:rPr>
          <w:rFonts w:hint="eastAsia" w:ascii="仿宋_GB2312"/>
          <w:color w:val="auto"/>
          <w:szCs w:val="32"/>
        </w:rPr>
        <w:t>申请认定奖励，</w:t>
      </w:r>
      <w:r>
        <w:rPr>
          <w:rFonts w:hint="eastAsia" w:ascii="仿宋_GB2312"/>
          <w:color w:val="auto"/>
          <w:szCs w:val="32"/>
          <w:lang w:val="en-US" w:eastAsia="zh-CN"/>
        </w:rPr>
        <w:t>获得第八条认定奖励的第二年</w:t>
      </w:r>
      <w:r>
        <w:rPr>
          <w:rFonts w:hint="eastAsia" w:ascii="仿宋_GB2312"/>
          <w:color w:val="auto"/>
          <w:szCs w:val="32"/>
        </w:rPr>
        <w:t>起可按《办法》第九条规定享受增量奖励。</w:t>
      </w:r>
    </w:p>
    <w:p>
      <w:pPr>
        <w:snapToGrid w:val="0"/>
        <w:spacing w:line="520" w:lineRule="exact"/>
        <w:ind w:firstLine="640"/>
        <w:rPr>
          <w:rFonts w:ascii="仿宋_GB2312"/>
          <w:color w:val="auto"/>
          <w:szCs w:val="32"/>
        </w:rPr>
      </w:pPr>
      <w:r>
        <w:rPr>
          <w:rFonts w:hint="eastAsia" w:ascii="仿宋_GB2312"/>
          <w:color w:val="auto"/>
          <w:szCs w:val="32"/>
        </w:rPr>
        <w:t>2、申请《办法》第九条增量奖励的企业，可在认定次年起连续三年申请增量奖励。</w:t>
      </w:r>
    </w:p>
    <w:p>
      <w:pPr>
        <w:keepNext/>
        <w:keepLines/>
        <w:widowControl/>
        <w:spacing w:line="560" w:lineRule="exact"/>
        <w:ind w:firstLine="640" w:firstLineChars="200"/>
        <w:jc w:val="both"/>
        <w:outlineLvl w:val="2"/>
        <w:rPr>
          <w:rFonts w:hint="default" w:ascii="仿宋_GB2312" w:hAnsi="Calibri" w:eastAsia="仿宋_GB2312" w:cs="宋体"/>
          <w:bCs/>
          <w:color w:val="auto"/>
          <w:szCs w:val="32"/>
          <w:highlight w:val="none"/>
          <w:lang w:val="en-US" w:eastAsia="zh-CN"/>
        </w:rPr>
      </w:pPr>
      <w:bookmarkStart w:id="16" w:name="_Toc13843560"/>
      <w:r>
        <w:rPr>
          <w:rFonts w:hint="eastAsia" w:ascii="仿宋_GB2312" w:hAnsi="Calibri" w:cs="宋体"/>
          <w:bCs/>
          <w:color w:val="auto"/>
          <w:szCs w:val="32"/>
        </w:rPr>
        <w:t>备注</w:t>
      </w:r>
      <w:r>
        <w:rPr>
          <w:rFonts w:hint="eastAsia" w:ascii="仿宋_GB2312" w:hAnsi="Calibri" w:cs="宋体"/>
          <w:bCs/>
          <w:color w:val="auto"/>
          <w:szCs w:val="32"/>
          <w:highlight w:val="none"/>
        </w:rPr>
        <w:t>：</w:t>
      </w:r>
      <w:bookmarkEnd w:id="15"/>
      <w:bookmarkEnd w:id="16"/>
      <w:bookmarkStart w:id="17" w:name="_Toc13843561"/>
      <w:bookmarkStart w:id="18" w:name="_Toc13834547"/>
      <w:r>
        <w:rPr>
          <w:rFonts w:hint="eastAsia" w:ascii="仿宋_GB2312" w:hAnsi="Calibri" w:cs="宋体"/>
          <w:bCs/>
          <w:color w:val="auto"/>
          <w:szCs w:val="32"/>
          <w:highlight w:val="none"/>
        </w:rPr>
        <w:t>20</w:t>
      </w:r>
      <w:r>
        <w:rPr>
          <w:rFonts w:hint="eastAsia" w:ascii="仿宋_GB2312" w:hAnsi="Calibri" w:cs="宋体"/>
          <w:bCs/>
          <w:color w:val="auto"/>
          <w:szCs w:val="32"/>
          <w:highlight w:val="none"/>
          <w:lang w:val="en-US" w:eastAsia="zh-CN"/>
        </w:rPr>
        <w:t>21</w:t>
      </w:r>
      <w:r>
        <w:rPr>
          <w:rFonts w:hint="eastAsia" w:ascii="仿宋_GB2312" w:hAnsi="Calibri" w:cs="宋体"/>
          <w:bCs/>
          <w:color w:val="auto"/>
          <w:szCs w:val="32"/>
          <w:highlight w:val="none"/>
        </w:rPr>
        <w:t>年认定的总部企业，属于已落户企业的，可在202</w:t>
      </w:r>
      <w:r>
        <w:rPr>
          <w:rFonts w:hint="eastAsia" w:ascii="仿宋_GB2312" w:hAnsi="Calibri" w:cs="宋体"/>
          <w:bCs/>
          <w:color w:val="auto"/>
          <w:szCs w:val="32"/>
          <w:highlight w:val="none"/>
          <w:lang w:val="en-US" w:eastAsia="zh-CN"/>
        </w:rPr>
        <w:t>2</w:t>
      </w:r>
      <w:r>
        <w:rPr>
          <w:rFonts w:hint="eastAsia" w:ascii="仿宋_GB2312" w:hAnsi="Calibri" w:cs="宋体"/>
          <w:bCs/>
          <w:color w:val="auto"/>
          <w:szCs w:val="32"/>
          <w:highlight w:val="none"/>
        </w:rPr>
        <w:t>年、202</w:t>
      </w:r>
      <w:r>
        <w:rPr>
          <w:rFonts w:hint="eastAsia" w:ascii="仿宋_GB2312" w:hAnsi="Calibri" w:cs="宋体"/>
          <w:bCs/>
          <w:color w:val="auto"/>
          <w:szCs w:val="32"/>
          <w:highlight w:val="none"/>
          <w:lang w:val="en-US" w:eastAsia="zh-CN"/>
        </w:rPr>
        <w:t>3</w:t>
      </w:r>
      <w:r>
        <w:rPr>
          <w:rFonts w:hint="eastAsia" w:ascii="仿宋_GB2312" w:hAnsi="Calibri" w:cs="宋体"/>
          <w:bCs/>
          <w:color w:val="auto"/>
          <w:szCs w:val="32"/>
          <w:highlight w:val="none"/>
        </w:rPr>
        <w:t>年、202</w:t>
      </w:r>
      <w:r>
        <w:rPr>
          <w:rFonts w:hint="eastAsia" w:ascii="仿宋_GB2312" w:hAnsi="Calibri" w:cs="宋体"/>
          <w:bCs/>
          <w:color w:val="auto"/>
          <w:szCs w:val="32"/>
          <w:highlight w:val="none"/>
          <w:lang w:val="en-US" w:eastAsia="zh-CN"/>
        </w:rPr>
        <w:t>4</w:t>
      </w:r>
      <w:r>
        <w:rPr>
          <w:rFonts w:hint="eastAsia" w:ascii="仿宋_GB2312" w:hAnsi="Calibri" w:cs="宋体"/>
          <w:bCs/>
          <w:color w:val="auto"/>
          <w:szCs w:val="32"/>
          <w:highlight w:val="none"/>
        </w:rPr>
        <w:t>年连续三年申请增量奖励。资助金额计算方式见附件《增量奖励资助金额计算表》。</w:t>
      </w:r>
      <w:r>
        <w:rPr>
          <w:rFonts w:hint="eastAsia" w:ascii="仿宋_GB2312" w:hAnsi="Calibri" w:cs="宋体"/>
          <w:bCs/>
          <w:color w:val="auto"/>
          <w:szCs w:val="32"/>
          <w:highlight w:val="none"/>
          <w:lang w:eastAsia="zh-CN"/>
        </w:rPr>
        <w:t>因</w:t>
      </w:r>
      <w:r>
        <w:rPr>
          <w:rFonts w:hint="eastAsia" w:ascii="仿宋_GB2312" w:hAnsi="Calibri"/>
          <w:color w:val="auto"/>
          <w:szCs w:val="32"/>
          <w:highlight w:val="none"/>
        </w:rPr>
        <w:t>《</w:t>
      </w:r>
      <w:r>
        <w:rPr>
          <w:rFonts w:hint="eastAsia"/>
          <w:color w:val="auto"/>
          <w:szCs w:val="32"/>
          <w:highlight w:val="none"/>
        </w:rPr>
        <w:t>盐田区支持总部企业发展实施办法</w:t>
      </w:r>
      <w:r>
        <w:rPr>
          <w:rFonts w:hint="eastAsia" w:ascii="仿宋_GB2312" w:hAnsi="Calibri"/>
          <w:color w:val="auto"/>
          <w:szCs w:val="32"/>
          <w:highlight w:val="none"/>
        </w:rPr>
        <w:t>》</w:t>
      </w:r>
      <w:r>
        <w:rPr>
          <w:rFonts w:hint="eastAsia" w:ascii="仿宋_GB2312" w:hAnsi="Calibri"/>
          <w:color w:val="auto"/>
          <w:szCs w:val="32"/>
          <w:highlight w:val="none"/>
          <w:lang w:eastAsia="zh-CN"/>
        </w:rPr>
        <w:t>（</w:t>
      </w:r>
      <w:r>
        <w:rPr>
          <w:rFonts w:hint="eastAsia" w:ascii="仿宋_GB2312" w:hAnsi="Calibri"/>
          <w:color w:val="auto"/>
          <w:szCs w:val="32"/>
          <w:highlight w:val="none"/>
        </w:rPr>
        <w:t>盐田区人民政府，深盐府规〔2019〕5号</w:t>
      </w:r>
      <w:r>
        <w:rPr>
          <w:rFonts w:hint="eastAsia" w:ascii="仿宋_GB2312" w:hAnsi="Calibri"/>
          <w:color w:val="auto"/>
          <w:szCs w:val="32"/>
          <w:highlight w:val="none"/>
          <w:lang w:eastAsia="zh-CN"/>
        </w:rPr>
        <w:t>）将于</w:t>
      </w:r>
      <w:r>
        <w:rPr>
          <w:rFonts w:hint="eastAsia" w:ascii="仿宋_GB2312" w:hAnsi="Calibri"/>
          <w:color w:val="auto"/>
          <w:szCs w:val="32"/>
          <w:highlight w:val="none"/>
          <w:lang w:val="en-US" w:eastAsia="zh-CN"/>
        </w:rPr>
        <w:t>2022年12月31日到期，到期后按届时最新政策执行。</w:t>
      </w:r>
    </w:p>
    <w:p>
      <w:pPr>
        <w:keepNext/>
        <w:keepLines/>
        <w:widowControl/>
        <w:spacing w:line="560" w:lineRule="exact"/>
        <w:ind w:firstLine="640" w:firstLineChars="200"/>
        <w:jc w:val="left"/>
        <w:outlineLvl w:val="2"/>
        <w:rPr>
          <w:rFonts w:ascii="Calibri" w:hAnsi="Calibri" w:eastAsia="楷体_GB2312" w:cs="宋体"/>
          <w:bCs/>
          <w:color w:val="auto"/>
          <w:szCs w:val="32"/>
        </w:rPr>
      </w:pPr>
      <w:r>
        <w:rPr>
          <w:rFonts w:hint="eastAsia" w:ascii="Calibri" w:hAnsi="Calibri" w:eastAsia="楷体_GB2312" w:cs="宋体"/>
          <w:bCs/>
          <w:color w:val="auto"/>
          <w:szCs w:val="32"/>
        </w:rPr>
        <w:t>（二）企业经济指标统计口径</w:t>
      </w:r>
      <w:bookmarkEnd w:id="17"/>
      <w:bookmarkEnd w:id="18"/>
    </w:p>
    <w:p>
      <w:pPr>
        <w:widowControl/>
        <w:spacing w:line="560" w:lineRule="exact"/>
        <w:ind w:firstLine="640" w:firstLineChars="200"/>
        <w:jc w:val="left"/>
        <w:rPr>
          <w:rFonts w:ascii="宋体" w:hAnsi="宋体" w:cs="宋体"/>
          <w:color w:val="auto"/>
          <w:kern w:val="0"/>
          <w:szCs w:val="24"/>
        </w:rPr>
      </w:pPr>
      <w:r>
        <w:rPr>
          <w:rFonts w:ascii="宋体" w:hAnsi="宋体" w:cs="宋体"/>
          <w:color w:val="auto"/>
          <w:kern w:val="0"/>
          <w:szCs w:val="24"/>
        </w:rPr>
        <w:t>1、总部企业所形成区</w:t>
      </w:r>
      <w:r>
        <w:rPr>
          <w:rFonts w:hint="eastAsia" w:ascii="宋体" w:hAnsi="宋体" w:cs="宋体"/>
          <w:color w:val="auto"/>
          <w:kern w:val="0"/>
          <w:szCs w:val="24"/>
        </w:rPr>
        <w:t>级财政贡献以</w:t>
      </w:r>
      <w:r>
        <w:rPr>
          <w:rFonts w:hint="eastAsia" w:ascii="仿宋_GB2312" w:cs="仿宋_GB2312"/>
          <w:color w:val="auto"/>
          <w:szCs w:val="32"/>
        </w:rPr>
        <w:t>申报企业独立法人（含分支机构）及其控股</w:t>
      </w:r>
      <w:r>
        <w:rPr>
          <w:rFonts w:ascii="仿宋_GB2312" w:cs="仿宋_GB2312"/>
          <w:color w:val="auto"/>
          <w:szCs w:val="32"/>
        </w:rPr>
        <w:t>50%</w:t>
      </w:r>
      <w:r>
        <w:rPr>
          <w:rFonts w:hint="eastAsia" w:ascii="仿宋_GB2312" w:cs="仿宋_GB2312"/>
          <w:color w:val="auto"/>
          <w:szCs w:val="32"/>
        </w:rPr>
        <w:t>（含）以上在本区注册的一级、二级子公司作为统计核算口径，各年度股权关系以当年</w:t>
      </w:r>
      <w:r>
        <w:rPr>
          <w:rFonts w:ascii="仿宋_GB2312" w:cs="仿宋_GB2312"/>
          <w:color w:val="auto"/>
          <w:szCs w:val="32"/>
        </w:rPr>
        <w:t>12</w:t>
      </w:r>
      <w:r>
        <w:rPr>
          <w:rFonts w:hint="eastAsia" w:ascii="仿宋_GB2312" w:cs="仿宋_GB2312"/>
          <w:color w:val="auto"/>
          <w:szCs w:val="32"/>
        </w:rPr>
        <w:t>月</w:t>
      </w:r>
      <w:r>
        <w:rPr>
          <w:rFonts w:ascii="仿宋_GB2312" w:cs="仿宋_GB2312"/>
          <w:color w:val="auto"/>
          <w:szCs w:val="32"/>
        </w:rPr>
        <w:t>31</w:t>
      </w:r>
      <w:r>
        <w:rPr>
          <w:rFonts w:hint="eastAsia" w:ascii="仿宋_GB2312" w:cs="仿宋_GB2312"/>
          <w:color w:val="auto"/>
          <w:szCs w:val="32"/>
        </w:rPr>
        <w:t>日股权登记状况为准</w:t>
      </w:r>
      <w:r>
        <w:rPr>
          <w:rFonts w:ascii="宋体" w:hAnsi="宋体" w:cs="宋体"/>
          <w:color w:val="auto"/>
          <w:kern w:val="0"/>
          <w:szCs w:val="24"/>
        </w:rPr>
        <w:t>（需提供隶属关系证明）</w:t>
      </w:r>
      <w:r>
        <w:rPr>
          <w:rFonts w:hint="eastAsia" w:ascii="仿宋_GB2312" w:cs="仿宋_GB2312"/>
          <w:color w:val="auto"/>
          <w:szCs w:val="32"/>
        </w:rPr>
        <w:t>。经区政府研究同意的其他情况除外。</w:t>
      </w:r>
    </w:p>
    <w:p>
      <w:pPr>
        <w:widowControl/>
        <w:spacing w:line="560" w:lineRule="exact"/>
        <w:ind w:firstLine="640" w:firstLineChars="200"/>
        <w:jc w:val="left"/>
        <w:rPr>
          <w:rFonts w:ascii="宋体" w:hAnsi="宋体" w:cs="宋体"/>
          <w:color w:val="auto"/>
          <w:kern w:val="0"/>
          <w:szCs w:val="24"/>
        </w:rPr>
      </w:pPr>
      <w:r>
        <w:rPr>
          <w:rFonts w:hint="eastAsia" w:ascii="宋体" w:hAnsi="宋体" w:cs="宋体"/>
          <w:color w:val="auto"/>
          <w:kern w:val="0"/>
          <w:szCs w:val="24"/>
        </w:rPr>
        <w:t>2、</w:t>
      </w:r>
      <w:r>
        <w:rPr>
          <w:rFonts w:ascii="宋体" w:hAnsi="宋体" w:cs="宋体"/>
          <w:color w:val="auto"/>
          <w:kern w:val="0"/>
          <w:szCs w:val="24"/>
        </w:rPr>
        <w:t>盐田区计算的区</w:t>
      </w:r>
      <w:r>
        <w:rPr>
          <w:rFonts w:hint="eastAsia" w:ascii="宋体" w:hAnsi="宋体" w:cs="宋体"/>
          <w:color w:val="auto"/>
          <w:kern w:val="0"/>
          <w:szCs w:val="24"/>
        </w:rPr>
        <w:t>级财政贡献</w:t>
      </w:r>
      <w:r>
        <w:rPr>
          <w:rFonts w:ascii="宋体" w:hAnsi="宋体" w:cs="宋体"/>
          <w:color w:val="auto"/>
          <w:kern w:val="0"/>
          <w:szCs w:val="24"/>
        </w:rPr>
        <w:t>主要是</w:t>
      </w:r>
      <w:r>
        <w:rPr>
          <w:rFonts w:hint="eastAsia" w:ascii="宋体" w:hAnsi="宋体" w:cs="宋体"/>
          <w:color w:val="auto"/>
          <w:kern w:val="0"/>
          <w:szCs w:val="24"/>
        </w:rPr>
        <w:t>指申报企业在本区缴纳的税款入库期内，增值税、企业所得税或其他税种等计入区级地方分成的部分。</w:t>
      </w:r>
      <w:r>
        <w:rPr>
          <w:rFonts w:ascii="宋体" w:hAnsi="宋体" w:cs="宋体"/>
          <w:color w:val="auto"/>
          <w:kern w:val="0"/>
          <w:szCs w:val="24"/>
        </w:rPr>
        <w:t>最终结果以</w:t>
      </w:r>
      <w:r>
        <w:rPr>
          <w:rFonts w:hint="eastAsia" w:ascii="宋体" w:hAnsi="宋体" w:cs="宋体"/>
          <w:color w:val="auto"/>
          <w:kern w:val="0"/>
          <w:szCs w:val="24"/>
        </w:rPr>
        <w:t>盐田区财政局</w:t>
      </w:r>
      <w:r>
        <w:rPr>
          <w:rFonts w:ascii="宋体" w:hAnsi="宋体" w:cs="宋体"/>
          <w:color w:val="auto"/>
          <w:kern w:val="0"/>
          <w:szCs w:val="24"/>
        </w:rPr>
        <w:t>正式核算为准。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hAnsi="宋体" w:eastAsia="仿宋_GB2312"/>
          <w:color w:val="auto"/>
          <w:sz w:val="32"/>
          <w:szCs w:val="32"/>
        </w:rPr>
        <w:t>3、</w:t>
      </w:r>
      <w:r>
        <w:rPr>
          <w:rFonts w:hint="eastAsia" w:ascii="仿宋_GB2312" w:eastAsia="仿宋_GB2312" w:cs="仿宋_GB2312"/>
          <w:color w:val="auto"/>
          <w:sz w:val="32"/>
          <w:szCs w:val="32"/>
        </w:rPr>
        <w:t>申报企业的下属公司独立提出申请享受总部企业支持政策的，其下属公司在本区形成区级财政贡献不再重复计入作为上级公司的申报企业。</w:t>
      </w:r>
    </w:p>
    <w:p>
      <w:pPr>
        <w:pStyle w:val="27"/>
        <w:spacing w:line="560" w:lineRule="atLeast"/>
        <w:ind w:firstLine="640" w:firstLineChars="200"/>
        <w:jc w:val="both"/>
        <w:rPr>
          <w:rFonts w:ascii="楷体_GB2312" w:eastAsia="楷体_GB2312" w:cs="仿宋_GB2312"/>
          <w:color w:val="auto"/>
          <w:sz w:val="32"/>
          <w:szCs w:val="32"/>
        </w:rPr>
      </w:pPr>
      <w:r>
        <w:rPr>
          <w:rFonts w:hint="eastAsia" w:ascii="楷体_GB2312" w:eastAsia="楷体_GB2312" w:cs="仿宋_GB2312"/>
          <w:color w:val="auto"/>
          <w:sz w:val="32"/>
          <w:szCs w:val="32"/>
        </w:rPr>
        <w:t>（三）履行相关承诺</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经认定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widowControl/>
        <w:jc w:val="left"/>
        <w:rPr>
          <w:color w:val="auto"/>
        </w:rPr>
        <w:sectPr>
          <w:footerReference r:id="rId3" w:type="default"/>
          <w:pgSz w:w="11906" w:h="16838"/>
          <w:pgMar w:top="2098" w:right="1474" w:bottom="1985" w:left="1588" w:header="851" w:footer="992" w:gutter="0"/>
          <w:cols w:space="425" w:num="1"/>
          <w:docGrid w:type="lines" w:linePitch="435" w:charSpace="0"/>
        </w:sectPr>
      </w:pPr>
    </w:p>
    <w:p>
      <w:pPr>
        <w:pStyle w:val="3"/>
        <w:ind w:firstLine="0" w:firstLineChars="0"/>
        <w:rPr>
          <w:color w:val="auto"/>
        </w:rPr>
      </w:pPr>
      <w:bookmarkStart w:id="19" w:name="_Toc13843562"/>
      <w:r>
        <w:rPr>
          <w:rFonts w:hint="eastAsia"/>
          <w:color w:val="auto"/>
        </w:rPr>
        <w:t>附件：</w:t>
      </w:r>
      <w:bookmarkEnd w:id="19"/>
    </w:p>
    <w:p>
      <w:pPr>
        <w:pStyle w:val="2"/>
        <w:rPr>
          <w:color w:val="auto"/>
        </w:rPr>
      </w:pPr>
      <w:bookmarkStart w:id="20" w:name="_Toc13843563"/>
      <w:r>
        <w:rPr>
          <w:rFonts w:hint="eastAsia"/>
          <w:color w:val="auto"/>
        </w:rPr>
        <w:t>增量奖励资助金额计算表</w:t>
      </w:r>
      <w:bookmarkEnd w:id="20"/>
    </w:p>
    <w:tbl>
      <w:tblPr>
        <w:tblStyle w:val="14"/>
        <w:tblW w:w="129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8"/>
        <w:gridCol w:w="1419"/>
        <w:gridCol w:w="825"/>
        <w:gridCol w:w="1419"/>
        <w:gridCol w:w="1826"/>
        <w:gridCol w:w="2436"/>
        <w:gridCol w:w="4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7" w:type="dxa"/>
            <w:gridSpan w:val="2"/>
            <w:tcBorders>
              <w:top w:val="single" w:color="000000" w:themeColor="text1" w:sz="18" w:space="0"/>
              <w:left w:val="single" w:color="000000" w:themeColor="text1" w:sz="18"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年度</w:t>
            </w:r>
          </w:p>
        </w:tc>
        <w:tc>
          <w:tcPr>
            <w:tcW w:w="825"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lang w:val="en-US" w:eastAsia="zh-CN"/>
              </w:rPr>
              <w:t>2020</w:t>
            </w:r>
            <w:r>
              <w:rPr>
                <w:rFonts w:hint="eastAsia" w:ascii="宋体" w:hAnsi="宋体"/>
                <w:b/>
                <w:color w:val="auto"/>
                <w:sz w:val="21"/>
                <w:szCs w:val="21"/>
              </w:rPr>
              <w:t>年</w:t>
            </w:r>
          </w:p>
        </w:tc>
        <w:tc>
          <w:tcPr>
            <w:tcW w:w="1419"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w:t>
            </w:r>
            <w:r>
              <w:rPr>
                <w:rFonts w:hint="eastAsia" w:ascii="宋体" w:hAnsi="宋体"/>
                <w:b/>
                <w:color w:val="auto"/>
                <w:sz w:val="21"/>
                <w:szCs w:val="21"/>
                <w:lang w:val="en-US" w:eastAsia="zh-CN"/>
              </w:rPr>
              <w:t>21</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（认定）</w:t>
            </w:r>
          </w:p>
        </w:tc>
        <w:tc>
          <w:tcPr>
            <w:tcW w:w="182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202</w:t>
            </w:r>
            <w:r>
              <w:rPr>
                <w:rFonts w:hint="eastAsia" w:ascii="宋体" w:hAnsi="宋体"/>
                <w:b/>
                <w:color w:val="auto"/>
                <w:sz w:val="21"/>
                <w:szCs w:val="21"/>
                <w:lang w:val="en-US" w:eastAsia="zh-CN"/>
              </w:rPr>
              <w:t>2</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（第一年）</w:t>
            </w:r>
          </w:p>
        </w:tc>
        <w:tc>
          <w:tcPr>
            <w:tcW w:w="243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202</w:t>
            </w:r>
            <w:r>
              <w:rPr>
                <w:rFonts w:hint="eastAsia" w:ascii="宋体" w:hAnsi="宋体"/>
                <w:b/>
                <w:color w:val="auto"/>
                <w:sz w:val="21"/>
                <w:szCs w:val="21"/>
                <w:lang w:val="en-US" w:eastAsia="zh-CN"/>
              </w:rPr>
              <w:t>3</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（第二年）</w:t>
            </w:r>
          </w:p>
        </w:tc>
        <w:tc>
          <w:tcPr>
            <w:tcW w:w="4088" w:type="dxa"/>
            <w:tcBorders>
              <w:top w:val="single" w:color="000000" w:themeColor="text1" w:sz="18"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202</w:t>
            </w:r>
            <w:r>
              <w:rPr>
                <w:rFonts w:hint="eastAsia" w:ascii="宋体" w:hAnsi="宋体"/>
                <w:b/>
                <w:color w:val="auto"/>
                <w:sz w:val="21"/>
                <w:szCs w:val="21"/>
                <w:lang w:val="en-US" w:eastAsia="zh-CN"/>
              </w:rPr>
              <w:t>4</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（第三年）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color w:val="auto"/>
                <w:sz w:val="21"/>
                <w:szCs w:val="21"/>
              </w:rPr>
            </w:pPr>
            <w:r>
              <w:rPr>
                <w:rFonts w:hint="eastAsia" w:ascii="宋体" w:hAnsi="宋体"/>
                <w:b/>
                <w:color w:val="auto"/>
                <w:sz w:val="21"/>
                <w:szCs w:val="21"/>
              </w:rPr>
              <w:t>情形一：</w:t>
            </w:r>
          </w:p>
          <w:p>
            <w:pPr>
              <w:pStyle w:val="23"/>
              <w:ind w:left="113" w:right="113"/>
              <w:jc w:val="center"/>
              <w:rPr>
                <w:rFonts w:ascii="宋体" w:hAnsi="宋体"/>
                <w:color w:val="auto"/>
                <w:sz w:val="21"/>
                <w:szCs w:val="21"/>
              </w:rPr>
            </w:pPr>
            <w:r>
              <w:rPr>
                <w:rFonts w:hint="eastAsia" w:ascii="宋体" w:hAnsi="宋体"/>
                <w:b/>
                <w:color w:val="auto"/>
                <w:sz w:val="21"/>
                <w:szCs w:val="21"/>
              </w:rPr>
              <w:t>正常持续增长情形</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1400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1600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1" w:hRule="atLeast"/>
        </w:trPr>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(1200-1000)*30%</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(1400-1200)</w:t>
            </w:r>
          </w:p>
          <w:p>
            <w:pPr>
              <w:pStyle w:val="23"/>
              <w:jc w:val="center"/>
              <w:rPr>
                <w:rFonts w:ascii="宋体" w:hAnsi="宋体"/>
                <w:color w:val="auto"/>
                <w:sz w:val="21"/>
                <w:szCs w:val="21"/>
              </w:rPr>
            </w:pPr>
            <w:r>
              <w:rPr>
                <w:rFonts w:hint="eastAsia" w:ascii="宋体" w:hAnsi="宋体"/>
                <w:color w:val="auto"/>
                <w:sz w:val="21"/>
                <w:szCs w:val="21"/>
              </w:rPr>
              <w:t>*30%</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(1600-1400)*30%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9" w:hRule="atLeast"/>
        </w:trPr>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color w:val="auto"/>
                <w:sz w:val="21"/>
                <w:szCs w:val="21"/>
              </w:rPr>
            </w:pPr>
            <w:r>
              <w:rPr>
                <w:rFonts w:hint="eastAsia" w:ascii="宋体" w:hAnsi="宋体"/>
                <w:b/>
                <w:color w:val="auto"/>
                <w:sz w:val="21"/>
                <w:szCs w:val="21"/>
              </w:rPr>
              <w:t>情形二：</w:t>
            </w:r>
          </w:p>
          <w:p>
            <w:pPr>
              <w:pStyle w:val="23"/>
              <w:jc w:val="center"/>
              <w:rPr>
                <w:rFonts w:ascii="宋体" w:hAnsi="宋体"/>
                <w:color w:val="auto"/>
                <w:sz w:val="21"/>
                <w:szCs w:val="21"/>
              </w:rPr>
            </w:pPr>
            <w:r>
              <w:rPr>
                <w:rFonts w:hint="eastAsia" w:ascii="宋体" w:hAnsi="宋体"/>
                <w:b/>
                <w:color w:val="auto"/>
                <w:sz w:val="21"/>
                <w:szCs w:val="21"/>
              </w:rPr>
              <w:t>区级财政贡献下降或不满1000万元</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800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1400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8" w:hRule="atLeast"/>
        </w:trPr>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2" w:hRule="atLeast"/>
        </w:trPr>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年度区级财政贡献下降，不可获得增量奖励。</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hint="eastAsia" w:ascii="宋体" w:hAnsi="宋体" w:eastAsia="宋体"/>
                <w:color w:val="auto"/>
                <w:sz w:val="21"/>
                <w:szCs w:val="21"/>
                <w:lang w:val="en-US" w:eastAsia="zh-CN"/>
              </w:rPr>
            </w:pPr>
            <w:r>
              <w:rPr>
                <w:rFonts w:hint="eastAsia" w:ascii="宋体" w:hAnsi="宋体"/>
                <w:color w:val="auto"/>
                <w:sz w:val="21"/>
                <w:szCs w:val="21"/>
              </w:rPr>
              <w:t>(1200-1000)*30</w:t>
            </w:r>
            <w:r>
              <w:rPr>
                <w:rFonts w:hint="eastAsia" w:ascii="宋体" w:hAnsi="宋体"/>
                <w:color w:val="auto"/>
                <w:sz w:val="21"/>
                <w:szCs w:val="21"/>
                <w:lang w:val="en-US" w:eastAsia="zh-CN"/>
              </w:rPr>
              <w:t>%</w:t>
            </w:r>
          </w:p>
          <w:p>
            <w:pPr>
              <w:pStyle w:val="23"/>
              <w:jc w:val="center"/>
              <w:rPr>
                <w:rFonts w:ascii="宋体" w:hAnsi="宋体"/>
                <w:color w:val="auto"/>
                <w:sz w:val="21"/>
                <w:szCs w:val="21"/>
              </w:rPr>
            </w:pP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年度区级财政贡献不足1000万元，按1000万元计算。</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hint="eastAsia" w:ascii="宋体" w:hAnsi="宋体" w:eastAsia="宋体"/>
                <w:color w:val="auto"/>
                <w:sz w:val="21"/>
                <w:szCs w:val="21"/>
                <w:lang w:val="en-US" w:eastAsia="zh-CN"/>
              </w:rPr>
            </w:pPr>
            <w:r>
              <w:rPr>
                <w:rFonts w:hint="eastAsia" w:ascii="宋体" w:hAnsi="宋体"/>
                <w:color w:val="auto"/>
                <w:sz w:val="21"/>
                <w:szCs w:val="21"/>
              </w:rPr>
              <w:t>(1400-1200)*30</w:t>
            </w:r>
            <w:r>
              <w:rPr>
                <w:rFonts w:hint="eastAsia" w:ascii="宋体" w:hAnsi="宋体"/>
                <w:color w:val="auto"/>
                <w:sz w:val="21"/>
                <w:szCs w:val="21"/>
                <w:lang w:val="en-US" w:eastAsia="zh-CN"/>
              </w:rPr>
              <w:t>%</w:t>
            </w:r>
          </w:p>
          <w:p>
            <w:pPr>
              <w:pStyle w:val="23"/>
              <w:jc w:val="center"/>
              <w:rPr>
                <w:rFonts w:ascii="宋体" w:hAnsi="宋体"/>
                <w:color w:val="auto"/>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color w:val="auto"/>
                <w:sz w:val="21"/>
                <w:szCs w:val="21"/>
              </w:rPr>
            </w:pPr>
            <w:r>
              <w:rPr>
                <w:rFonts w:hint="eastAsia" w:ascii="宋体" w:hAnsi="宋体"/>
                <w:b/>
                <w:color w:val="auto"/>
                <w:sz w:val="21"/>
                <w:szCs w:val="21"/>
              </w:rPr>
              <w:t>情形三：</w:t>
            </w:r>
          </w:p>
          <w:p>
            <w:pPr>
              <w:pStyle w:val="23"/>
              <w:ind w:left="113" w:right="113"/>
              <w:jc w:val="center"/>
              <w:rPr>
                <w:rFonts w:ascii="宋体" w:hAnsi="宋体"/>
                <w:color w:val="auto"/>
                <w:sz w:val="21"/>
                <w:szCs w:val="21"/>
              </w:rPr>
            </w:pPr>
            <w:r>
              <w:rPr>
                <w:rFonts w:hint="eastAsia" w:ascii="宋体" w:hAnsi="宋体"/>
                <w:b/>
                <w:color w:val="auto"/>
                <w:sz w:val="21"/>
                <w:szCs w:val="21"/>
              </w:rPr>
              <w:t>区级财政贡献下降后又增长</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1000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1100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4" w:hRule="atLeast"/>
        </w:trPr>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(1200-1000)*30%</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20</w:t>
            </w:r>
            <w:r>
              <w:rPr>
                <w:rFonts w:hint="eastAsia" w:ascii="宋体" w:hAnsi="宋体"/>
                <w:color w:val="auto"/>
                <w:sz w:val="21"/>
                <w:szCs w:val="21"/>
                <w:lang w:val="en-US" w:eastAsia="zh-CN"/>
              </w:rPr>
              <w:t>22</w:t>
            </w:r>
            <w:r>
              <w:rPr>
                <w:rFonts w:hint="eastAsia" w:ascii="宋体" w:hAnsi="宋体"/>
                <w:color w:val="auto"/>
                <w:sz w:val="21"/>
                <w:szCs w:val="21"/>
              </w:rPr>
              <w:t>年度区级财政贡献下降，不可获得增量奖励。</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hint="eastAsia" w:ascii="宋体" w:hAnsi="宋体" w:eastAsia="宋体"/>
                <w:color w:val="auto"/>
                <w:sz w:val="21"/>
                <w:szCs w:val="21"/>
                <w:lang w:val="en-US" w:eastAsia="zh-CN"/>
              </w:rPr>
            </w:pPr>
            <w:r>
              <w:rPr>
                <w:rFonts w:hint="eastAsia" w:ascii="宋体" w:hAnsi="宋体"/>
                <w:color w:val="auto"/>
                <w:sz w:val="21"/>
                <w:szCs w:val="21"/>
              </w:rPr>
              <w:t>(1100-1000)*30</w:t>
            </w:r>
            <w:r>
              <w:rPr>
                <w:rFonts w:hint="eastAsia" w:ascii="宋体" w:hAnsi="宋体"/>
                <w:color w:val="auto"/>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7" w:type="dxa"/>
            <w:gridSpan w:val="2"/>
            <w:tcBorders>
              <w:top w:val="single" w:color="000000" w:themeColor="text1" w:sz="18" w:space="0"/>
              <w:left w:val="single" w:color="000000" w:themeColor="text1" w:sz="18"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年度</w:t>
            </w:r>
          </w:p>
        </w:tc>
        <w:tc>
          <w:tcPr>
            <w:tcW w:w="825"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lang w:val="en-US" w:eastAsia="zh-CN"/>
              </w:rPr>
              <w:t>2020</w:t>
            </w:r>
            <w:r>
              <w:rPr>
                <w:rFonts w:hint="eastAsia" w:ascii="宋体" w:hAnsi="宋体"/>
                <w:b/>
                <w:color w:val="auto"/>
                <w:sz w:val="21"/>
                <w:szCs w:val="21"/>
              </w:rPr>
              <w:t>年</w:t>
            </w:r>
          </w:p>
        </w:tc>
        <w:tc>
          <w:tcPr>
            <w:tcW w:w="1419"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w:t>
            </w:r>
            <w:r>
              <w:rPr>
                <w:rFonts w:hint="eastAsia" w:ascii="宋体" w:hAnsi="宋体"/>
                <w:b/>
                <w:color w:val="auto"/>
                <w:sz w:val="21"/>
                <w:szCs w:val="21"/>
                <w:lang w:val="en-US" w:eastAsia="zh-CN"/>
              </w:rPr>
              <w:t>21</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（认定）</w:t>
            </w:r>
          </w:p>
        </w:tc>
        <w:tc>
          <w:tcPr>
            <w:tcW w:w="182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202</w:t>
            </w:r>
            <w:r>
              <w:rPr>
                <w:rFonts w:hint="eastAsia" w:ascii="宋体" w:hAnsi="宋体"/>
                <w:b/>
                <w:color w:val="auto"/>
                <w:sz w:val="21"/>
                <w:szCs w:val="21"/>
                <w:lang w:val="en-US" w:eastAsia="zh-CN"/>
              </w:rPr>
              <w:t>2</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（第一年）</w:t>
            </w:r>
          </w:p>
        </w:tc>
        <w:tc>
          <w:tcPr>
            <w:tcW w:w="243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202</w:t>
            </w:r>
            <w:r>
              <w:rPr>
                <w:rFonts w:hint="eastAsia" w:ascii="宋体" w:hAnsi="宋体"/>
                <w:b/>
                <w:color w:val="auto"/>
                <w:sz w:val="21"/>
                <w:szCs w:val="21"/>
                <w:lang w:val="en-US" w:eastAsia="zh-CN"/>
              </w:rPr>
              <w:t>3</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（第二年）</w:t>
            </w:r>
          </w:p>
        </w:tc>
        <w:tc>
          <w:tcPr>
            <w:tcW w:w="4088" w:type="dxa"/>
            <w:tcBorders>
              <w:top w:val="single" w:color="000000" w:themeColor="text1" w:sz="18"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b/>
                <w:color w:val="auto"/>
                <w:sz w:val="21"/>
                <w:szCs w:val="21"/>
              </w:rPr>
            </w:pPr>
            <w:r>
              <w:rPr>
                <w:rFonts w:hint="eastAsia" w:ascii="宋体" w:hAnsi="宋体"/>
                <w:b/>
                <w:color w:val="auto"/>
                <w:sz w:val="21"/>
                <w:szCs w:val="21"/>
              </w:rPr>
              <w:t>202</w:t>
            </w:r>
            <w:r>
              <w:rPr>
                <w:rFonts w:hint="eastAsia" w:ascii="宋体" w:hAnsi="宋体"/>
                <w:b/>
                <w:color w:val="auto"/>
                <w:sz w:val="21"/>
                <w:szCs w:val="21"/>
                <w:lang w:val="en-US" w:eastAsia="zh-CN"/>
              </w:rPr>
              <w:t>4</w:t>
            </w:r>
            <w:r>
              <w:rPr>
                <w:rFonts w:hint="eastAsia" w:ascii="宋体" w:hAnsi="宋体"/>
                <w:b/>
                <w:color w:val="auto"/>
                <w:sz w:val="21"/>
                <w:szCs w:val="21"/>
              </w:rPr>
              <w:t>年</w:t>
            </w:r>
          </w:p>
          <w:p>
            <w:pPr>
              <w:pStyle w:val="23"/>
              <w:jc w:val="center"/>
              <w:rPr>
                <w:rFonts w:ascii="宋体" w:hAnsi="宋体"/>
                <w:b/>
                <w:color w:val="auto"/>
                <w:sz w:val="21"/>
                <w:szCs w:val="21"/>
              </w:rPr>
            </w:pPr>
            <w:r>
              <w:rPr>
                <w:rFonts w:hint="eastAsia" w:ascii="宋体" w:hAnsi="宋体"/>
                <w:b/>
                <w:color w:val="auto"/>
                <w:sz w:val="21"/>
                <w:szCs w:val="21"/>
              </w:rPr>
              <w:t>（第三年）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color w:val="auto"/>
                <w:sz w:val="21"/>
                <w:szCs w:val="21"/>
              </w:rPr>
            </w:pPr>
            <w:r>
              <w:rPr>
                <w:rFonts w:hint="eastAsia" w:ascii="宋体" w:hAnsi="宋体"/>
                <w:b/>
                <w:color w:val="auto"/>
                <w:sz w:val="21"/>
                <w:szCs w:val="21"/>
              </w:rPr>
              <w:t>情形四：</w:t>
            </w:r>
          </w:p>
          <w:p>
            <w:pPr>
              <w:pStyle w:val="23"/>
              <w:ind w:left="113" w:right="113"/>
              <w:jc w:val="center"/>
              <w:rPr>
                <w:rFonts w:ascii="宋体" w:hAnsi="宋体"/>
                <w:color w:val="auto"/>
                <w:sz w:val="21"/>
                <w:szCs w:val="21"/>
              </w:rPr>
            </w:pPr>
            <w:r>
              <w:rPr>
                <w:rFonts w:hint="eastAsia" w:ascii="宋体" w:hAnsi="宋体"/>
                <w:b/>
                <w:color w:val="auto"/>
                <w:sz w:val="21"/>
                <w:szCs w:val="21"/>
              </w:rPr>
              <w:t>连续两年不符合条件</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800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700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b/>
                <w:color w:val="auto"/>
                <w:sz w:val="21"/>
                <w:szCs w:val="21"/>
              </w:rPr>
            </w:pPr>
            <w:r>
              <w:rPr>
                <w:rFonts w:hint="eastAsia" w:ascii="宋体" w:hAnsi="宋体"/>
                <w:color w:val="auto"/>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60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b/>
                <w:color w:val="auto"/>
                <w:sz w:val="21"/>
                <w:szCs w:val="21"/>
              </w:rPr>
            </w:pPr>
            <w:r>
              <w:rPr>
                <w:rFonts w:hint="eastAsia" w:ascii="宋体" w:hAnsi="宋体"/>
                <w:color w:val="auto"/>
                <w:sz w:val="2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color w:val="auto"/>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(1200-1000)*30%</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color w:val="auto"/>
                <w:sz w:val="21"/>
                <w:szCs w:val="21"/>
              </w:rPr>
            </w:pPr>
            <w:r>
              <w:rPr>
                <w:rFonts w:hint="eastAsia" w:ascii="宋体" w:hAnsi="宋体"/>
                <w:color w:val="auto"/>
                <w:sz w:val="21"/>
                <w:szCs w:val="21"/>
              </w:rPr>
              <w:t>202</w:t>
            </w:r>
            <w:r>
              <w:rPr>
                <w:rFonts w:hint="eastAsia" w:ascii="宋体" w:hAnsi="宋体"/>
                <w:color w:val="auto"/>
                <w:sz w:val="21"/>
                <w:szCs w:val="21"/>
                <w:lang w:val="en-US" w:eastAsia="zh-CN"/>
              </w:rPr>
              <w:t>2</w:t>
            </w:r>
            <w:r>
              <w:rPr>
                <w:rFonts w:hint="eastAsia" w:ascii="宋体" w:hAnsi="宋体"/>
                <w:color w:val="auto"/>
                <w:sz w:val="21"/>
                <w:szCs w:val="21"/>
              </w:rPr>
              <w:t>年度区级财政贡献下降，不可获得增量奖励。</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color w:val="auto"/>
                <w:sz w:val="21"/>
                <w:szCs w:val="21"/>
              </w:rPr>
            </w:pPr>
            <w:r>
              <w:rPr>
                <w:rFonts w:hint="eastAsia" w:ascii="宋体" w:hAnsi="宋体"/>
                <w:color w:val="auto"/>
                <w:sz w:val="21"/>
                <w:szCs w:val="21"/>
              </w:rPr>
              <w:t>202</w:t>
            </w:r>
            <w:r>
              <w:rPr>
                <w:rFonts w:hint="eastAsia" w:ascii="宋体" w:hAnsi="宋体"/>
                <w:color w:val="auto"/>
                <w:sz w:val="21"/>
                <w:szCs w:val="21"/>
                <w:lang w:val="en-US" w:eastAsia="zh-CN"/>
              </w:rPr>
              <w:t>3</w:t>
            </w:r>
            <w:r>
              <w:rPr>
                <w:rFonts w:hint="eastAsia" w:ascii="宋体" w:hAnsi="宋体"/>
                <w:color w:val="auto"/>
                <w:sz w:val="21"/>
                <w:szCs w:val="21"/>
              </w:rPr>
              <w:t>年度区级财政贡献下降，不可获得增量奖励。</w:t>
            </w:r>
          </w:p>
          <w:p>
            <w:pPr>
              <w:pStyle w:val="23"/>
              <w:jc w:val="center"/>
              <w:rPr>
                <w:rFonts w:ascii="宋体" w:hAnsi="宋体"/>
                <w:color w:val="auto"/>
                <w:sz w:val="21"/>
                <w:szCs w:val="21"/>
              </w:rPr>
            </w:pPr>
            <w:r>
              <w:rPr>
                <w:rFonts w:hint="eastAsia" w:ascii="宋体" w:hAnsi="宋体"/>
                <w:color w:val="auto"/>
                <w:sz w:val="21"/>
                <w:szCs w:val="21"/>
              </w:rPr>
              <w:t>因连续两年不符合条件，取消其总部企业资格，且两年内不得再申请认定。满两年后符合条件的，</w:t>
            </w:r>
            <w:r>
              <w:rPr>
                <w:rFonts w:hint="eastAsia" w:ascii="宋体" w:hAnsi="宋体"/>
                <w:color w:val="auto"/>
                <w:sz w:val="21"/>
                <w:szCs w:val="21"/>
                <w:lang w:val="en-US" w:eastAsia="zh-CN"/>
              </w:rPr>
              <w:t>2026年</w:t>
            </w:r>
            <w:r>
              <w:rPr>
                <w:rFonts w:hint="eastAsia" w:ascii="宋体" w:hAnsi="宋体"/>
                <w:color w:val="auto"/>
                <w:sz w:val="21"/>
                <w:szCs w:val="21"/>
              </w:rPr>
              <w:t>可重新申请认定，但所获增量奖励需扣除已享受过的金额60万元。</w:t>
            </w:r>
          </w:p>
        </w:tc>
      </w:tr>
    </w:tbl>
    <w:p>
      <w:pPr>
        <w:keepNext/>
        <w:keepLines/>
        <w:widowControl/>
        <w:spacing w:line="560" w:lineRule="exact"/>
        <w:ind w:firstLine="640" w:firstLineChars="200"/>
        <w:jc w:val="both"/>
        <w:outlineLvl w:val="2"/>
        <w:rPr>
          <w:rFonts w:hint="default" w:ascii="仿宋_GB2312" w:hAnsi="Calibri" w:eastAsia="仿宋_GB2312" w:cs="宋体"/>
          <w:bCs/>
          <w:color w:val="auto"/>
          <w:szCs w:val="32"/>
          <w:highlight w:val="yellow"/>
          <w:lang w:val="en-US" w:eastAsia="zh-CN"/>
        </w:rPr>
      </w:pPr>
      <w:r>
        <w:rPr>
          <w:rFonts w:hint="eastAsia"/>
          <w:color w:val="auto"/>
          <w:lang w:eastAsia="zh-CN"/>
        </w:rPr>
        <w:t>备注：</w:t>
      </w:r>
      <w:r>
        <w:rPr>
          <w:rFonts w:hint="eastAsia" w:ascii="仿宋_GB2312" w:hAnsi="Calibri" w:cs="宋体"/>
          <w:bCs/>
          <w:color w:val="auto"/>
          <w:szCs w:val="32"/>
          <w:highlight w:val="none"/>
          <w:lang w:eastAsia="zh-CN"/>
        </w:rPr>
        <w:t>因</w:t>
      </w:r>
      <w:r>
        <w:rPr>
          <w:rFonts w:hint="eastAsia" w:ascii="仿宋_GB2312" w:hAnsi="Calibri"/>
          <w:color w:val="auto"/>
          <w:szCs w:val="32"/>
        </w:rPr>
        <w:t>《</w:t>
      </w:r>
      <w:r>
        <w:rPr>
          <w:rFonts w:hint="eastAsia"/>
          <w:color w:val="auto"/>
          <w:szCs w:val="32"/>
        </w:rPr>
        <w:t>盐田区支持总部企业发展实施办法</w:t>
      </w:r>
      <w:r>
        <w:rPr>
          <w:rFonts w:hint="eastAsia" w:ascii="仿宋_GB2312" w:hAnsi="Calibri"/>
          <w:color w:val="auto"/>
          <w:szCs w:val="32"/>
        </w:rPr>
        <w:t>》</w:t>
      </w:r>
      <w:r>
        <w:rPr>
          <w:rFonts w:hint="eastAsia" w:ascii="仿宋_GB2312" w:hAnsi="Calibri"/>
          <w:color w:val="auto"/>
          <w:szCs w:val="32"/>
          <w:lang w:eastAsia="zh-CN"/>
        </w:rPr>
        <w:t>（</w:t>
      </w:r>
      <w:r>
        <w:rPr>
          <w:rFonts w:hint="eastAsia" w:ascii="仿宋_GB2312" w:hAnsi="Calibri"/>
          <w:color w:val="auto"/>
          <w:szCs w:val="32"/>
        </w:rPr>
        <w:t>盐田区人民政府，深盐府规〔2019〕5号</w:t>
      </w:r>
      <w:r>
        <w:rPr>
          <w:rFonts w:hint="eastAsia" w:ascii="仿宋_GB2312" w:hAnsi="Calibri"/>
          <w:color w:val="auto"/>
          <w:szCs w:val="32"/>
          <w:lang w:eastAsia="zh-CN"/>
        </w:rPr>
        <w:t>）将于</w:t>
      </w:r>
      <w:r>
        <w:rPr>
          <w:rFonts w:hint="eastAsia" w:ascii="仿宋_GB2312" w:hAnsi="Calibri"/>
          <w:color w:val="auto"/>
          <w:szCs w:val="32"/>
          <w:lang w:val="en-US" w:eastAsia="zh-CN"/>
        </w:rPr>
        <w:t>2022年12月31日到期，到期后按届时最新政策执行。</w:t>
      </w:r>
    </w:p>
    <w:p>
      <w:pPr>
        <w:widowControl/>
        <w:jc w:val="left"/>
        <w:rPr>
          <w:rFonts w:hint="eastAsia" w:eastAsia="仿宋_GB2312"/>
          <w:color w:val="auto"/>
          <w:lang w:eastAsia="zh-CN"/>
        </w:rPr>
      </w:pPr>
    </w:p>
    <w:p>
      <w:pPr>
        <w:snapToGrid w:val="0"/>
        <w:spacing w:line="520" w:lineRule="exact"/>
        <w:rPr>
          <w:color w:val="auto"/>
        </w:rPr>
      </w:pPr>
    </w:p>
    <w:p>
      <w:pPr>
        <w:snapToGrid w:val="0"/>
        <w:spacing w:line="520" w:lineRule="exact"/>
        <w:rPr>
          <w:color w:val="auto"/>
        </w:rPr>
      </w:pPr>
    </w:p>
    <w:p>
      <w:pPr>
        <w:widowControl/>
        <w:jc w:val="left"/>
        <w:rPr>
          <w:color w:val="auto"/>
        </w:rPr>
        <w:sectPr>
          <w:pgSz w:w="16838" w:h="11906" w:orient="landscape"/>
          <w:pgMar w:top="1588" w:right="2098" w:bottom="1474" w:left="1985" w:header="851" w:footer="992" w:gutter="0"/>
          <w:cols w:space="425" w:num="1"/>
          <w:docGrid w:type="linesAndChars" w:linePitch="435" w:charSpace="0"/>
        </w:sectPr>
      </w:pPr>
      <w:r>
        <w:rPr>
          <w:color w:val="auto"/>
        </w:rPr>
        <w:br w:type="page"/>
      </w:r>
    </w:p>
    <w:p>
      <w:pPr>
        <w:pStyle w:val="2"/>
        <w:rPr>
          <w:color w:val="auto"/>
        </w:rPr>
      </w:pPr>
      <w:bookmarkStart w:id="21" w:name="_Toc13843564"/>
      <w:r>
        <w:rPr>
          <w:rFonts w:hint="eastAsia"/>
          <w:color w:val="auto"/>
        </w:rPr>
        <w:t>盐田区总部企业用房支持申报指南</w:t>
      </w:r>
      <w:bookmarkEnd w:id="21"/>
    </w:p>
    <w:p>
      <w:pPr>
        <w:snapToGrid w:val="0"/>
        <w:spacing w:line="520" w:lineRule="exact"/>
        <w:ind w:firstLine="640"/>
        <w:rPr>
          <w:rFonts w:ascii="黑体" w:hAnsi="Calibri" w:eastAsia="黑体"/>
          <w:color w:val="auto"/>
          <w:szCs w:val="32"/>
        </w:rPr>
      </w:pP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一、申请内容</w:t>
      </w:r>
    </w:p>
    <w:p>
      <w:pPr>
        <w:snapToGrid w:val="0"/>
        <w:spacing w:line="520" w:lineRule="exact"/>
        <w:ind w:firstLine="640"/>
        <w:rPr>
          <w:color w:val="auto"/>
          <w:szCs w:val="32"/>
        </w:rPr>
      </w:pPr>
      <w:r>
        <w:rPr>
          <w:rFonts w:hint="eastAsia"/>
          <w:color w:val="auto"/>
          <w:szCs w:val="32"/>
        </w:rPr>
        <w:t>对经认定的盐田区总部企业租用或购置研发办公和生产场地的，给予用房支持资助。</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二、设定依据</w:t>
      </w:r>
    </w:p>
    <w:p>
      <w:pPr>
        <w:snapToGrid w:val="0"/>
        <w:spacing w:line="520" w:lineRule="exact"/>
        <w:ind w:firstLine="640"/>
        <w:rPr>
          <w:rFonts w:ascii="仿宋_GB2312" w:hAnsi="Calibri"/>
          <w:color w:val="auto"/>
          <w:szCs w:val="32"/>
        </w:rPr>
      </w:pPr>
      <w:r>
        <w:rPr>
          <w:rFonts w:hint="eastAsia" w:ascii="仿宋_GB2312" w:hAnsi="Calibri"/>
          <w:color w:val="auto"/>
          <w:szCs w:val="32"/>
        </w:rPr>
        <w:t>（一）《盐田区产业发展资金管理规定》，盐田区人民政府，深盐府规〔2020〕1号；</w:t>
      </w:r>
    </w:p>
    <w:p>
      <w:pPr>
        <w:snapToGrid w:val="0"/>
        <w:spacing w:line="520" w:lineRule="exact"/>
        <w:ind w:firstLine="640"/>
        <w:rPr>
          <w:rFonts w:ascii="仿宋_GB2312" w:hAnsi="Calibri"/>
          <w:color w:val="auto"/>
          <w:szCs w:val="32"/>
        </w:rPr>
      </w:pPr>
      <w:r>
        <w:rPr>
          <w:rFonts w:hint="eastAsia" w:ascii="仿宋_GB2312" w:hAnsi="Calibri"/>
          <w:color w:val="auto"/>
          <w:szCs w:val="32"/>
        </w:rPr>
        <w:t>（二）《</w:t>
      </w:r>
      <w:r>
        <w:rPr>
          <w:rFonts w:hint="eastAsia"/>
          <w:color w:val="auto"/>
          <w:szCs w:val="32"/>
        </w:rPr>
        <w:t>盐田区支持总部企业发展实施办法</w:t>
      </w:r>
      <w:r>
        <w:rPr>
          <w:rFonts w:hint="eastAsia" w:ascii="仿宋_GB2312" w:hAnsi="Calibri"/>
          <w:color w:val="auto"/>
          <w:szCs w:val="32"/>
        </w:rPr>
        <w:t>》，盐田区人民政府，深盐府规〔2019〕5号。</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三、办理条件</w:t>
      </w:r>
    </w:p>
    <w:p>
      <w:pPr>
        <w:snapToGrid w:val="0"/>
        <w:spacing w:line="520" w:lineRule="exact"/>
        <w:ind w:firstLine="640"/>
        <w:rPr>
          <w:rFonts w:ascii="仿宋_GB2312" w:hAnsi="Calibri"/>
          <w:color w:val="auto"/>
          <w:szCs w:val="32"/>
        </w:rPr>
      </w:pPr>
      <w:r>
        <w:rPr>
          <w:rFonts w:hint="eastAsia" w:ascii="仿宋_GB2312" w:hAnsi="Calibri"/>
          <w:color w:val="auto"/>
          <w:szCs w:val="32"/>
        </w:rPr>
        <w:t>申请该项目企业应当符合以下条件：</w:t>
      </w:r>
    </w:p>
    <w:p>
      <w:pPr>
        <w:snapToGrid w:val="0"/>
        <w:spacing w:line="520" w:lineRule="exact"/>
        <w:ind w:firstLine="640"/>
        <w:rPr>
          <w:rFonts w:ascii="仿宋_GB2312" w:hAnsi="Calibri"/>
          <w:color w:val="auto"/>
          <w:szCs w:val="32"/>
        </w:rPr>
      </w:pPr>
      <w:r>
        <w:rPr>
          <w:rFonts w:hint="eastAsia" w:ascii="仿宋_GB2312" w:hAnsi="Calibri"/>
          <w:color w:val="auto"/>
          <w:szCs w:val="32"/>
        </w:rPr>
        <w:t>（一）申报单位应当是在盐田区注册并具有独立法人资格的企业；</w:t>
      </w:r>
    </w:p>
    <w:p>
      <w:pPr>
        <w:snapToGrid w:val="0"/>
        <w:spacing w:line="520" w:lineRule="exact"/>
        <w:ind w:firstLine="640"/>
        <w:rPr>
          <w:rFonts w:ascii="仿宋_GB2312"/>
          <w:color w:val="auto"/>
          <w:szCs w:val="32"/>
        </w:rPr>
      </w:pPr>
      <w:r>
        <w:rPr>
          <w:rFonts w:hint="eastAsia" w:ascii="仿宋_GB2312"/>
          <w:color w:val="auto"/>
          <w:szCs w:val="32"/>
        </w:rPr>
        <w:t>（二）产权关系明晰，依法经营，诚实守信；</w:t>
      </w:r>
    </w:p>
    <w:p>
      <w:pPr>
        <w:snapToGrid w:val="0"/>
        <w:spacing w:line="520" w:lineRule="exact"/>
        <w:ind w:firstLine="640"/>
        <w:rPr>
          <w:rFonts w:ascii="仿宋_GB2312"/>
          <w:color w:val="auto"/>
          <w:szCs w:val="32"/>
        </w:rPr>
      </w:pPr>
      <w:r>
        <w:rPr>
          <w:rFonts w:hint="eastAsia" w:ascii="仿宋_GB2312"/>
          <w:color w:val="auto"/>
          <w:szCs w:val="32"/>
        </w:rPr>
        <w:t>（三）有严格的财务管理制度和健全的会计核算体系；</w:t>
      </w:r>
    </w:p>
    <w:p>
      <w:pPr>
        <w:snapToGrid w:val="0"/>
        <w:spacing w:line="520" w:lineRule="exact"/>
        <w:ind w:firstLine="640"/>
        <w:rPr>
          <w:rFonts w:ascii="仿宋_GB2312"/>
          <w:color w:val="auto"/>
          <w:szCs w:val="32"/>
        </w:rPr>
      </w:pPr>
      <w:r>
        <w:rPr>
          <w:rFonts w:hint="eastAsia" w:ascii="仿宋_GB2312"/>
          <w:color w:val="auto"/>
          <w:szCs w:val="32"/>
        </w:rPr>
        <w:t>（四）统计关系原则上在盐田区，依法报送统计报表；</w:t>
      </w:r>
    </w:p>
    <w:p>
      <w:pPr>
        <w:snapToGrid w:val="0"/>
        <w:spacing w:line="520" w:lineRule="exact"/>
        <w:ind w:firstLine="640"/>
        <w:rPr>
          <w:rFonts w:ascii="仿宋_GB2312" w:cs="仿宋_GB2312"/>
          <w:color w:val="auto"/>
          <w:szCs w:val="32"/>
        </w:rPr>
      </w:pPr>
      <w:r>
        <w:rPr>
          <w:rFonts w:hint="eastAsia" w:ascii="仿宋_GB2312"/>
          <w:color w:val="auto"/>
          <w:szCs w:val="32"/>
        </w:rPr>
        <w:t>（五）经认定的盐田区总部企业(不含</w:t>
      </w:r>
      <w:r>
        <w:rPr>
          <w:rFonts w:hint="eastAsia" w:ascii="仿宋_GB2312" w:cs="仿宋_GB2312"/>
          <w:color w:val="auto"/>
          <w:szCs w:val="32"/>
        </w:rPr>
        <w:t>子公司或关联公司)。</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四、</w:t>
      </w:r>
      <w:r>
        <w:rPr>
          <w:rFonts w:hint="eastAsia" w:ascii="黑体" w:hAnsi="黑体" w:eastAsia="黑体"/>
          <w:color w:val="auto"/>
          <w:szCs w:val="32"/>
        </w:rPr>
        <w:t>奖励标准</w:t>
      </w:r>
    </w:p>
    <w:p>
      <w:pPr>
        <w:snapToGrid w:val="0"/>
        <w:spacing w:line="520" w:lineRule="exact"/>
        <w:ind w:firstLine="640"/>
        <w:rPr>
          <w:rFonts w:ascii="仿宋_GB2312" w:hAnsi="Calibri" w:cs="黑体"/>
          <w:color w:val="auto"/>
          <w:kern w:val="0"/>
          <w:szCs w:val="32"/>
        </w:rPr>
      </w:pPr>
      <w:r>
        <w:rPr>
          <w:rFonts w:hint="eastAsia" w:ascii="仿宋_GB2312" w:hAnsi="Calibri" w:cs="黑体"/>
          <w:color w:val="auto"/>
          <w:kern w:val="0"/>
          <w:szCs w:val="32"/>
        </w:rPr>
        <w:t>（一）在区内没有自有物业的总部企业，对其在盐田区内按市场价格租用的研发办公和生产场地（不包括附属设施和配套用房，下同），从认定次日起连续三年给予实际租金50%的办公用房租金扶持，每年不超过500万元。</w:t>
      </w:r>
    </w:p>
    <w:p>
      <w:pPr>
        <w:snapToGrid w:val="0"/>
        <w:spacing w:line="520" w:lineRule="exact"/>
        <w:ind w:firstLine="640"/>
        <w:rPr>
          <w:rFonts w:ascii="仿宋_GB2312" w:hAnsi="Calibri" w:cs="黑体"/>
          <w:color w:val="auto"/>
          <w:kern w:val="0"/>
          <w:szCs w:val="32"/>
        </w:rPr>
      </w:pPr>
      <w:r>
        <w:rPr>
          <w:rFonts w:hint="eastAsia" w:ascii="仿宋_GB2312" w:hAnsi="Calibri" w:cs="黑体"/>
          <w:color w:val="auto"/>
          <w:kern w:val="0"/>
          <w:szCs w:val="32"/>
        </w:rPr>
        <w:t>已享受政策性用房或相关优惠的，不再给予资金扶持。</w:t>
      </w:r>
    </w:p>
    <w:p>
      <w:pPr>
        <w:snapToGrid w:val="0"/>
        <w:spacing w:line="520" w:lineRule="exact"/>
        <w:ind w:firstLine="640"/>
        <w:rPr>
          <w:rFonts w:ascii="仿宋_GB2312" w:hAnsi="Calibri" w:cs="黑体"/>
          <w:color w:val="auto"/>
          <w:kern w:val="0"/>
          <w:szCs w:val="32"/>
        </w:rPr>
      </w:pPr>
      <w:r>
        <w:rPr>
          <w:rFonts w:hint="eastAsia" w:ascii="仿宋_GB2312" w:hAnsi="Calibri" w:cs="黑体"/>
          <w:color w:val="auto"/>
          <w:kern w:val="0"/>
          <w:szCs w:val="32"/>
        </w:rPr>
        <w:t>（二）企业被认定为总部企业后，如5年内在区内按市场价格购买研发办公和生产场地的，按购置自用办公用房总成交价的10 %一次性给予办公用房购置费用扶持资金。扶持资金分三年发放，每年发放比例为40%、30%、30%。累计扶持金额最高不超过2000 万元。</w:t>
      </w:r>
    </w:p>
    <w:p>
      <w:pPr>
        <w:snapToGrid w:val="0"/>
        <w:spacing w:line="520" w:lineRule="exact"/>
        <w:ind w:firstLine="640"/>
        <w:rPr>
          <w:rFonts w:ascii="仿宋_GB2312" w:hAnsi="Calibri" w:cs="黑体"/>
          <w:color w:val="auto"/>
          <w:kern w:val="0"/>
          <w:szCs w:val="32"/>
        </w:rPr>
      </w:pPr>
      <w:r>
        <w:rPr>
          <w:rFonts w:hint="eastAsia" w:ascii="仿宋_GB2312" w:hAnsi="Calibri" w:cs="黑体"/>
          <w:color w:val="auto"/>
          <w:kern w:val="0"/>
          <w:szCs w:val="32"/>
        </w:rPr>
        <w:t>已享受政策性用房或相关优惠的，不再给予资金扶持。如已享受过第十一条房租资金支持的，在申请办公用房购置费用扶持资金时，对超过已享受房租资金支持金额部分给予补充资助。</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五、申请材料</w:t>
      </w:r>
    </w:p>
    <w:p>
      <w:pPr>
        <w:snapToGrid w:val="0"/>
        <w:spacing w:line="520" w:lineRule="exact"/>
        <w:ind w:firstLine="640"/>
        <w:rPr>
          <w:rFonts w:ascii="仿宋_GB2312"/>
          <w:color w:val="auto"/>
          <w:szCs w:val="32"/>
        </w:rPr>
      </w:pPr>
      <w:r>
        <w:rPr>
          <w:rFonts w:hint="eastAsia" w:ascii="仿宋_GB2312"/>
          <w:color w:val="auto"/>
          <w:szCs w:val="32"/>
        </w:rPr>
        <w:t>（一）《盐田区产业发展资金扶持项目申请书（总部企业用房支持）》（通知附件可下载相应申请书）原件及电子文档，原件为在电脑上按要求填写后打印生成的纸质文件原件（需签字盖章），电子文档为填写后的Word版电子文档（电子文档需发邮件至ytcyzj@yantian.gov.cn）。</w:t>
      </w:r>
    </w:p>
    <w:p>
      <w:pPr>
        <w:snapToGrid w:val="0"/>
        <w:spacing w:line="520" w:lineRule="exact"/>
        <w:ind w:firstLine="640"/>
        <w:rPr>
          <w:rFonts w:ascii="仿宋_GB2312"/>
          <w:color w:val="auto"/>
          <w:szCs w:val="32"/>
        </w:rPr>
      </w:pPr>
      <w:r>
        <w:rPr>
          <w:rFonts w:hint="eastAsia" w:ascii="仿宋_GB2312"/>
          <w:color w:val="auto"/>
          <w:szCs w:val="32"/>
        </w:rPr>
        <w:t>（二）营业执照复印件。</w:t>
      </w:r>
    </w:p>
    <w:p>
      <w:pPr>
        <w:snapToGrid w:val="0"/>
        <w:spacing w:line="520" w:lineRule="exact"/>
        <w:ind w:firstLine="640"/>
        <w:rPr>
          <w:rFonts w:ascii="仿宋_GB2312"/>
          <w:color w:val="auto"/>
          <w:szCs w:val="32"/>
        </w:rPr>
      </w:pPr>
      <w:r>
        <w:rPr>
          <w:rFonts w:hint="eastAsia" w:ascii="仿宋_GB2312"/>
          <w:color w:val="auto"/>
          <w:szCs w:val="32"/>
        </w:rPr>
        <w:t>（三）法人代表身份证复印件（法定代表人签字）或法人委托书原件及代理人身份证复印件。</w:t>
      </w:r>
    </w:p>
    <w:p>
      <w:pPr>
        <w:snapToGrid w:val="0"/>
        <w:spacing w:line="520" w:lineRule="exact"/>
        <w:ind w:firstLine="640"/>
        <w:rPr>
          <w:rFonts w:ascii="仿宋_GB2312"/>
          <w:color w:val="auto"/>
          <w:szCs w:val="32"/>
        </w:rPr>
      </w:pPr>
      <w:r>
        <w:rPr>
          <w:rFonts w:hint="eastAsia" w:ascii="仿宋_GB2312"/>
          <w:color w:val="auto"/>
          <w:szCs w:val="32"/>
        </w:rPr>
        <w:t>（四）纳入统计核算的控股企业或分支机构营业执照复印件、与本企业的隶属关系证明。</w:t>
      </w:r>
    </w:p>
    <w:p>
      <w:pPr>
        <w:snapToGrid w:val="0"/>
        <w:spacing w:line="520" w:lineRule="exact"/>
        <w:ind w:firstLine="640"/>
        <w:rPr>
          <w:rFonts w:ascii="仿宋_GB2312"/>
          <w:color w:val="auto"/>
          <w:szCs w:val="32"/>
        </w:rPr>
      </w:pPr>
      <w:r>
        <w:rPr>
          <w:rFonts w:hint="eastAsia" w:ascii="仿宋_GB2312"/>
          <w:color w:val="auto"/>
          <w:szCs w:val="32"/>
        </w:rPr>
        <w:t>（五）</w:t>
      </w:r>
      <w:r>
        <w:rPr>
          <w:rFonts w:hint="eastAsia"/>
          <w:color w:val="auto"/>
          <w:szCs w:val="21"/>
        </w:rPr>
        <w:t>盐田区总部企业认定证明复印件。</w:t>
      </w:r>
    </w:p>
    <w:p>
      <w:pPr>
        <w:snapToGrid w:val="0"/>
        <w:spacing w:line="520" w:lineRule="exact"/>
        <w:ind w:firstLine="640"/>
        <w:rPr>
          <w:rFonts w:ascii="仿宋_GB2312"/>
          <w:b/>
          <w:color w:val="auto"/>
          <w:szCs w:val="32"/>
        </w:rPr>
      </w:pPr>
      <w:r>
        <w:rPr>
          <w:rFonts w:hint="eastAsia" w:ascii="仿宋_GB2312"/>
          <w:color w:val="auto"/>
          <w:szCs w:val="32"/>
        </w:rPr>
        <w:t>（六）</w:t>
      </w:r>
      <w:r>
        <w:rPr>
          <w:rFonts w:hint="eastAsia" w:ascii="仿宋_GB2312"/>
          <w:b/>
          <w:color w:val="auto"/>
          <w:szCs w:val="32"/>
        </w:rPr>
        <w:t>申请《办法》第十一条租房资助的，还须提供以下资料：</w:t>
      </w:r>
    </w:p>
    <w:p>
      <w:pPr>
        <w:snapToGrid w:val="0"/>
        <w:spacing w:line="520" w:lineRule="exact"/>
        <w:ind w:firstLine="640"/>
        <w:rPr>
          <w:rFonts w:ascii="仿宋_GB2312"/>
          <w:color w:val="auto"/>
          <w:szCs w:val="32"/>
        </w:rPr>
      </w:pPr>
      <w:r>
        <w:rPr>
          <w:rFonts w:hint="eastAsia" w:ascii="仿宋_GB2312"/>
          <w:color w:val="auto"/>
          <w:szCs w:val="32"/>
        </w:rPr>
        <w:t>1、不动产登记部门出具的企业房产证明复印件（验原件）；</w:t>
      </w:r>
    </w:p>
    <w:p>
      <w:pPr>
        <w:snapToGrid w:val="0"/>
        <w:spacing w:line="520" w:lineRule="exact"/>
        <w:ind w:firstLine="640"/>
        <w:rPr>
          <w:rFonts w:ascii="仿宋_GB2312"/>
          <w:color w:val="auto"/>
          <w:szCs w:val="32"/>
        </w:rPr>
      </w:pPr>
      <w:r>
        <w:rPr>
          <w:rFonts w:hint="eastAsia" w:ascii="仿宋_GB2312"/>
          <w:color w:val="auto"/>
          <w:szCs w:val="32"/>
        </w:rPr>
        <w:t>2、租赁合同复印件，加盖公章的租金支付明细表原件（含月份、金额</w:t>
      </w:r>
      <w:r>
        <w:rPr>
          <w:rFonts w:hint="eastAsia" w:ascii="仿宋_GB2312"/>
          <w:bCs/>
          <w:color w:val="auto"/>
        </w:rPr>
        <w:t>&lt;元&gt;&lt;</w:t>
      </w:r>
      <w:r>
        <w:rPr>
          <w:rFonts w:hint="eastAsia" w:ascii="仿宋_GB2312"/>
          <w:color w:val="auto"/>
          <w:szCs w:val="32"/>
        </w:rPr>
        <w:t>以发票为准</w:t>
      </w:r>
      <w:r>
        <w:rPr>
          <w:rFonts w:hint="eastAsia" w:ascii="仿宋_GB2312"/>
          <w:bCs/>
          <w:color w:val="auto"/>
        </w:rPr>
        <w:t>&gt;</w:t>
      </w:r>
      <w:r>
        <w:rPr>
          <w:rFonts w:hint="eastAsia" w:ascii="仿宋_GB2312"/>
          <w:color w:val="auto"/>
          <w:szCs w:val="32"/>
        </w:rPr>
        <w:t>、发票编号、开票日期、发票在本材料中对应的页码）及发票复印件（验原件）。</w:t>
      </w:r>
    </w:p>
    <w:p>
      <w:pPr>
        <w:snapToGrid w:val="0"/>
        <w:spacing w:line="520" w:lineRule="exact"/>
        <w:ind w:firstLine="640"/>
        <w:rPr>
          <w:rFonts w:ascii="仿宋_GB2312"/>
          <w:b/>
          <w:color w:val="auto"/>
          <w:szCs w:val="32"/>
        </w:rPr>
      </w:pPr>
      <w:r>
        <w:rPr>
          <w:rFonts w:hint="eastAsia" w:ascii="仿宋_GB2312"/>
          <w:color w:val="auto"/>
          <w:szCs w:val="32"/>
        </w:rPr>
        <w:t>（七）</w:t>
      </w:r>
      <w:r>
        <w:rPr>
          <w:rFonts w:hint="eastAsia" w:ascii="仿宋_GB2312"/>
          <w:b/>
          <w:color w:val="auto"/>
          <w:szCs w:val="32"/>
        </w:rPr>
        <w:t>申请《办法》第十二条购房资助的，还须提供以下资料：</w:t>
      </w:r>
    </w:p>
    <w:p>
      <w:pPr>
        <w:snapToGrid w:val="0"/>
        <w:spacing w:line="520" w:lineRule="exact"/>
        <w:ind w:firstLine="640"/>
        <w:rPr>
          <w:rFonts w:ascii="仿宋_GB2312"/>
          <w:color w:val="auto"/>
          <w:szCs w:val="32"/>
        </w:rPr>
      </w:pPr>
      <w:r>
        <w:rPr>
          <w:rFonts w:hint="eastAsia" w:ascii="仿宋_GB2312"/>
          <w:color w:val="auto"/>
          <w:szCs w:val="32"/>
        </w:rPr>
        <w:t>购置房产合同、房产证、贷款合同及相关支付凭证复印件（验原件）。</w:t>
      </w:r>
    </w:p>
    <w:p>
      <w:pPr>
        <w:snapToGrid w:val="0"/>
        <w:spacing w:line="520" w:lineRule="exact"/>
        <w:ind w:firstLine="640"/>
        <w:rPr>
          <w:rFonts w:ascii="Calibri" w:hAnsi="Calibri"/>
          <w:color w:val="auto"/>
          <w:szCs w:val="22"/>
        </w:rPr>
      </w:pPr>
      <w:r>
        <w:rPr>
          <w:rFonts w:hint="eastAsia" w:ascii="仿宋_GB2312" w:hAnsi="Calibri"/>
          <w:color w:val="auto"/>
          <w:szCs w:val="32"/>
        </w:rPr>
        <w:t>以上材料一式贰份，</w:t>
      </w:r>
      <w:r>
        <w:rPr>
          <w:rFonts w:hint="eastAsia" w:ascii="Calibri" w:hAnsi="Calibri"/>
          <w:color w:val="auto"/>
          <w:szCs w:val="22"/>
        </w:rPr>
        <w:t>编制封面（封面采用申请书的封面）及目录（目录按照申请书中“材料清</w:t>
      </w:r>
      <w:r>
        <w:rPr>
          <w:rFonts w:hint="eastAsia" w:ascii="仿宋_GB2312" w:hAnsi="Calibri"/>
          <w:color w:val="auto"/>
          <w:szCs w:val="22"/>
        </w:rPr>
        <w:t>单”所列“附件”的顺序编写，并标明其在材料中对应的页码），A4纸正</w:t>
      </w:r>
      <w:r>
        <w:rPr>
          <w:rFonts w:hint="eastAsia" w:ascii="Calibri" w:hAnsi="Calibri"/>
          <w:color w:val="auto"/>
          <w:szCs w:val="22"/>
        </w:rPr>
        <w:t>反面打印</w:t>
      </w:r>
      <w:r>
        <w:rPr>
          <w:rFonts w:ascii="Calibri" w:hAnsi="Calibri"/>
          <w:color w:val="auto"/>
          <w:szCs w:val="22"/>
        </w:rPr>
        <w:t>/</w:t>
      </w:r>
      <w:r>
        <w:rPr>
          <w:rFonts w:hint="eastAsia" w:ascii="Calibri" w:hAnsi="Calibri"/>
          <w:color w:val="auto"/>
          <w:szCs w:val="22"/>
        </w:rPr>
        <w:t>复印，非空白页（含封面）需连续编写页码，装订成册（胶装），加盖骑缝章。</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六、申请表格</w:t>
      </w:r>
    </w:p>
    <w:p>
      <w:pPr>
        <w:snapToGrid w:val="0"/>
        <w:spacing w:line="520" w:lineRule="exact"/>
        <w:ind w:firstLine="640"/>
        <w:rPr>
          <w:rFonts w:ascii="仿宋_GB2312"/>
          <w:color w:val="auto"/>
          <w:szCs w:val="32"/>
        </w:rPr>
      </w:pPr>
      <w:r>
        <w:rPr>
          <w:rFonts w:hint="eastAsia" w:ascii="仿宋_GB2312"/>
          <w:color w:val="auto"/>
          <w:szCs w:val="32"/>
        </w:rPr>
        <w:t>《盐田区产业发展资金扶持项目申请书（总部企业用房支持）》（通知附件可下载相应申请书）。</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七、受理机关、受理时限及地点</w:t>
      </w:r>
    </w:p>
    <w:p>
      <w:pPr>
        <w:snapToGrid w:val="0"/>
        <w:spacing w:line="520" w:lineRule="exact"/>
        <w:ind w:firstLine="640"/>
        <w:rPr>
          <w:rFonts w:ascii="仿宋_GB2312" w:hAnsi="Calibri"/>
          <w:color w:val="auto"/>
          <w:szCs w:val="32"/>
        </w:rPr>
      </w:pPr>
      <w:r>
        <w:rPr>
          <w:rFonts w:hint="eastAsia" w:ascii="仿宋_GB2312" w:hAnsi="Calibri"/>
          <w:color w:val="auto"/>
          <w:szCs w:val="32"/>
        </w:rPr>
        <w:t>（一）受理机关：盐田区工业和信息化局。</w:t>
      </w:r>
    </w:p>
    <w:p>
      <w:pPr>
        <w:snapToGrid w:val="0"/>
        <w:spacing w:line="520" w:lineRule="exact"/>
        <w:ind w:firstLine="640"/>
        <w:rPr>
          <w:rFonts w:ascii="仿宋_GB2312"/>
          <w:color w:val="auto"/>
          <w:szCs w:val="32"/>
        </w:rPr>
      </w:pPr>
      <w:r>
        <w:rPr>
          <w:rFonts w:hint="eastAsia" w:ascii="仿宋_GB2312" w:hAnsi="Calibri"/>
          <w:color w:val="auto"/>
          <w:szCs w:val="32"/>
        </w:rPr>
        <w:t>（二）受理时限：</w:t>
      </w:r>
      <w:r>
        <w:rPr>
          <w:rFonts w:hint="eastAsia" w:ascii="仿宋_GB2312"/>
          <w:color w:val="auto"/>
          <w:szCs w:val="32"/>
        </w:rPr>
        <w:t>常年受理。受理时间为法定工作日上午9：00-12：00时，下午14：00-18：00时。10月30日后提出申请的，次年实施资助。</w:t>
      </w:r>
    </w:p>
    <w:p>
      <w:pPr>
        <w:snapToGrid w:val="0"/>
        <w:spacing w:line="520" w:lineRule="exact"/>
        <w:ind w:firstLine="640"/>
        <w:rPr>
          <w:rFonts w:ascii="仿宋_GB2312" w:hAnsi="Calibri"/>
          <w:color w:val="auto"/>
          <w:szCs w:val="32"/>
        </w:rPr>
      </w:pPr>
      <w:r>
        <w:rPr>
          <w:rFonts w:hint="eastAsia" w:ascii="仿宋_GB2312" w:hAnsi="Calibri"/>
          <w:color w:val="auto"/>
          <w:szCs w:val="32"/>
        </w:rPr>
        <w:t>（三）联系方式：0755-2522</w:t>
      </w:r>
      <w:r>
        <w:rPr>
          <w:rFonts w:hint="eastAsia" w:ascii="仿宋_GB2312" w:hAnsi="Calibri"/>
          <w:color w:val="auto"/>
          <w:szCs w:val="32"/>
          <w:lang w:val="en-US" w:eastAsia="zh-CN"/>
        </w:rPr>
        <w:t>7187、0755-25160342</w:t>
      </w:r>
      <w:r>
        <w:rPr>
          <w:rFonts w:hint="eastAsia" w:ascii="仿宋_GB2312" w:hAnsi="Calibri"/>
          <w:color w:val="auto"/>
          <w:szCs w:val="32"/>
        </w:rPr>
        <w:t>。</w:t>
      </w:r>
    </w:p>
    <w:p>
      <w:pPr>
        <w:snapToGrid w:val="0"/>
        <w:spacing w:line="520" w:lineRule="exact"/>
        <w:ind w:firstLine="640"/>
        <w:rPr>
          <w:rFonts w:ascii="仿宋_GB2312" w:hAnsi="Calibri"/>
          <w:color w:val="auto"/>
          <w:szCs w:val="32"/>
        </w:rPr>
      </w:pPr>
      <w:r>
        <w:rPr>
          <w:rFonts w:hint="eastAsia" w:ascii="仿宋_GB2312" w:hAnsi="Calibri"/>
          <w:color w:val="auto"/>
          <w:szCs w:val="32"/>
        </w:rPr>
        <w:t>（四）受理地点：盐田区行政中心4楼41</w:t>
      </w:r>
      <w:r>
        <w:rPr>
          <w:rFonts w:hint="eastAsia" w:ascii="仿宋_GB2312" w:hAnsi="Calibri"/>
          <w:color w:val="auto"/>
          <w:szCs w:val="32"/>
          <w:lang w:val="en-US" w:eastAsia="zh-CN"/>
        </w:rPr>
        <w:t>3</w:t>
      </w:r>
      <w:r>
        <w:rPr>
          <w:rFonts w:hint="eastAsia" w:ascii="仿宋_GB2312" w:hAnsi="Calibri"/>
          <w:color w:val="auto"/>
          <w:szCs w:val="32"/>
        </w:rPr>
        <w:t>室。</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八、决定机关</w:t>
      </w:r>
    </w:p>
    <w:p>
      <w:pPr>
        <w:snapToGrid w:val="0"/>
        <w:spacing w:line="520" w:lineRule="exact"/>
        <w:ind w:firstLine="640"/>
        <w:rPr>
          <w:rFonts w:ascii="仿宋_GB2312" w:hAnsi="Calibri"/>
          <w:color w:val="auto"/>
          <w:szCs w:val="32"/>
        </w:rPr>
      </w:pPr>
      <w:r>
        <w:rPr>
          <w:rFonts w:hint="eastAsia" w:ascii="仿宋_GB2312" w:hAnsi="Calibri"/>
          <w:color w:val="auto"/>
          <w:szCs w:val="32"/>
        </w:rPr>
        <w:t>盐田区政府。</w:t>
      </w:r>
      <w:bookmarkStart w:id="23" w:name="_GoBack"/>
      <w:bookmarkEnd w:id="23"/>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九、办理程序</w:t>
      </w:r>
    </w:p>
    <w:p>
      <w:pPr>
        <w:snapToGrid w:val="0"/>
        <w:spacing w:line="520" w:lineRule="exact"/>
        <w:ind w:firstLine="640"/>
        <w:rPr>
          <w:rFonts w:ascii="仿宋_GB2312" w:hAnsi="Calibri"/>
          <w:color w:val="auto"/>
          <w:szCs w:val="32"/>
        </w:rPr>
      </w:pPr>
      <w:r>
        <w:rPr>
          <w:rFonts w:hint="eastAsia" w:ascii="仿宋_GB2312"/>
          <w:color w:val="auto"/>
          <w:szCs w:val="32"/>
        </w:rPr>
        <w:t>申报单位</w:t>
      </w:r>
      <w:r>
        <w:rPr>
          <w:rFonts w:hint="eastAsia" w:ascii="仿宋_GB2312" w:hAnsi="Calibri"/>
          <w:color w:val="auto"/>
          <w:szCs w:val="32"/>
        </w:rPr>
        <w:t>准备申请材料</w:t>
      </w:r>
      <w:r>
        <w:rPr>
          <w:rFonts w:hint="eastAsia" w:ascii="仿宋_GB2312"/>
          <w:color w:val="auto"/>
          <w:szCs w:val="32"/>
        </w:rPr>
        <w:t>—</w:t>
      </w:r>
      <w:r>
        <w:rPr>
          <w:rFonts w:hint="eastAsia" w:ascii="仿宋_GB2312" w:hAnsi="Calibri"/>
          <w:color w:val="auto"/>
          <w:szCs w:val="32"/>
        </w:rPr>
        <w:t>向</w:t>
      </w:r>
      <w:r>
        <w:rPr>
          <w:rFonts w:hint="eastAsia" w:ascii="仿宋_GB2312"/>
          <w:color w:val="auto"/>
          <w:szCs w:val="32"/>
        </w:rPr>
        <w:t>盐田区工业和信息化局</w:t>
      </w:r>
      <w:r>
        <w:rPr>
          <w:rFonts w:hint="eastAsia" w:ascii="仿宋_GB2312" w:hAnsi="Calibri"/>
          <w:color w:val="auto"/>
          <w:szCs w:val="32"/>
        </w:rPr>
        <w:t>提交申请材料—业务科室进行初审—</w:t>
      </w:r>
      <w:r>
        <w:rPr>
          <w:rFonts w:hint="eastAsia" w:ascii="仿宋_GB2312"/>
          <w:color w:val="auto"/>
          <w:szCs w:val="32"/>
        </w:rPr>
        <w:t>盐田区工业和信息化局核准项目并形成资金扶持初步方案</w:t>
      </w:r>
      <w:r>
        <w:rPr>
          <w:rFonts w:hint="eastAsia" w:ascii="仿宋_GB2312" w:hAnsi="Calibri"/>
          <w:color w:val="auto"/>
          <w:szCs w:val="32"/>
        </w:rPr>
        <w:t>—按盐田区产业发展资金管理相关流程进行报批和公示—申报单位在收到拨款通知之日起5个工作日内提交拨付申请—</w:t>
      </w:r>
      <w:r>
        <w:rPr>
          <w:rFonts w:hint="eastAsia" w:ascii="仿宋_GB2312"/>
          <w:color w:val="auto"/>
          <w:szCs w:val="32"/>
        </w:rPr>
        <w:t>盐田区工业和信息化局</w:t>
      </w:r>
      <w:r>
        <w:rPr>
          <w:rFonts w:hint="eastAsia" w:ascii="仿宋_GB2312" w:hAnsi="Calibri"/>
          <w:color w:val="auto"/>
          <w:szCs w:val="32"/>
        </w:rPr>
        <w:t>拨付资金。</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十、收费</w:t>
      </w:r>
    </w:p>
    <w:p>
      <w:pPr>
        <w:snapToGrid w:val="0"/>
        <w:spacing w:line="520" w:lineRule="exact"/>
        <w:ind w:firstLine="640"/>
        <w:rPr>
          <w:rFonts w:ascii="仿宋_GB2312" w:hAnsi="Calibri"/>
          <w:color w:val="auto"/>
          <w:szCs w:val="32"/>
        </w:rPr>
      </w:pPr>
      <w:r>
        <w:rPr>
          <w:rFonts w:hint="eastAsia" w:ascii="仿宋_GB2312" w:hAnsi="Calibri"/>
          <w:color w:val="auto"/>
          <w:szCs w:val="32"/>
        </w:rPr>
        <w:t>不收费。</w:t>
      </w:r>
    </w:p>
    <w:p>
      <w:pPr>
        <w:snapToGrid w:val="0"/>
        <w:spacing w:line="520" w:lineRule="exact"/>
        <w:ind w:firstLine="640"/>
        <w:rPr>
          <w:rFonts w:ascii="黑体" w:hAnsi="Calibri" w:eastAsia="黑体"/>
          <w:color w:val="auto"/>
          <w:szCs w:val="32"/>
        </w:rPr>
      </w:pPr>
      <w:r>
        <w:rPr>
          <w:rFonts w:hint="eastAsia" w:ascii="黑体" w:hAnsi="Calibri" w:eastAsia="黑体"/>
          <w:color w:val="auto"/>
          <w:szCs w:val="32"/>
        </w:rPr>
        <w:t>十一、资格复核</w:t>
      </w:r>
    </w:p>
    <w:p>
      <w:pPr>
        <w:snapToGrid w:val="0"/>
        <w:spacing w:line="520" w:lineRule="exact"/>
        <w:ind w:firstLine="640"/>
        <w:rPr>
          <w:rFonts w:ascii="仿宋_GB2312" w:hAnsi="Calibri"/>
          <w:color w:val="auto"/>
          <w:szCs w:val="32"/>
        </w:rPr>
      </w:pPr>
      <w:r>
        <w:rPr>
          <w:rFonts w:hint="eastAsia" w:ascii="仿宋_GB2312" w:hAnsi="Calibri"/>
          <w:color w:val="auto"/>
          <w:szCs w:val="32"/>
        </w:rPr>
        <w:t>1、按《办法》第六条第（一）（二）款认定的总部企业在承诺期满未兑现承诺的，总部企业资格自动失效，不可申请用房支持，但可按第六条第（三）款重新申请认定。重新申请认定后可申请用房支持。</w:t>
      </w:r>
    </w:p>
    <w:p>
      <w:pPr>
        <w:snapToGrid w:val="0"/>
        <w:spacing w:line="520" w:lineRule="exact"/>
        <w:ind w:firstLine="640"/>
        <w:rPr>
          <w:rFonts w:ascii="仿宋_GB2312" w:hAnsi="Calibri"/>
          <w:color w:val="auto"/>
          <w:szCs w:val="32"/>
        </w:rPr>
      </w:pPr>
      <w:r>
        <w:rPr>
          <w:rFonts w:hint="eastAsia" w:ascii="仿宋_GB2312" w:hAnsi="Calibri"/>
          <w:color w:val="auto"/>
          <w:szCs w:val="32"/>
        </w:rPr>
        <w:t>2、实施总部企业年度复查和动态调整机制，每年对总部企业经济指标进行一次复查，动态更新区总部企业名录。经复查连续两年不再符合条件的，取消其总部企业资格，两年内不得再申请认定。满两年后符合条件的，可重新申请认定，但再次认定所获扶持资金须扣除已享受过的资助金额。</w:t>
      </w:r>
    </w:p>
    <w:p>
      <w:pPr>
        <w:snapToGrid w:val="0"/>
        <w:spacing w:line="520" w:lineRule="exact"/>
        <w:ind w:firstLine="640"/>
        <w:rPr>
          <w:rFonts w:ascii="仿宋_GB2312" w:hAnsi="Calibri"/>
          <w:color w:val="auto"/>
          <w:szCs w:val="32"/>
        </w:rPr>
      </w:pPr>
      <w:r>
        <w:rPr>
          <w:rFonts w:hint="eastAsia" w:ascii="仿宋_GB2312" w:hAnsi="Calibri"/>
          <w:color w:val="auto"/>
          <w:szCs w:val="32"/>
        </w:rPr>
        <w:t>3、认定的总部企业发生“关闭、停办、合并、转产”等无法经营，或因重大违法违规行为受到行政或刑事处罚的，取消其总部企业资格。重新申请认定方式同第2条。</w:t>
      </w:r>
    </w:p>
    <w:p>
      <w:pPr>
        <w:snapToGrid w:val="0"/>
        <w:spacing w:line="560" w:lineRule="exact"/>
        <w:ind w:firstLine="640"/>
        <w:rPr>
          <w:rFonts w:ascii="黑体" w:hAnsi="Calibri" w:eastAsia="黑体"/>
          <w:color w:val="auto"/>
          <w:szCs w:val="32"/>
        </w:rPr>
      </w:pPr>
      <w:r>
        <w:rPr>
          <w:rFonts w:hint="eastAsia" w:ascii="黑体" w:hAnsi="黑体" w:eastAsia="黑体" w:cs="仿宋_GB2312"/>
          <w:bCs/>
          <w:color w:val="auto"/>
          <w:szCs w:val="32"/>
        </w:rPr>
        <w:t>十二、</w:t>
      </w:r>
      <w:r>
        <w:rPr>
          <w:rFonts w:hint="eastAsia" w:ascii="黑体" w:hAnsi="Calibri" w:eastAsia="黑体"/>
          <w:color w:val="auto"/>
          <w:szCs w:val="32"/>
        </w:rPr>
        <w:t>有效期限</w:t>
      </w:r>
    </w:p>
    <w:p>
      <w:pPr>
        <w:snapToGrid w:val="0"/>
        <w:spacing w:line="560" w:lineRule="exact"/>
        <w:ind w:firstLine="640" w:firstLineChars="200"/>
        <w:rPr>
          <w:rFonts w:ascii="黑体" w:hAnsi="黑体" w:eastAsia="黑体" w:cs="仿宋_GB2312"/>
          <w:bCs/>
          <w:color w:val="auto"/>
          <w:szCs w:val="32"/>
        </w:rPr>
      </w:pPr>
      <w:r>
        <w:rPr>
          <w:rFonts w:hint="eastAsia" w:ascii="仿宋_GB2312" w:hAnsi="Calibri"/>
          <w:color w:val="auto"/>
          <w:szCs w:val="32"/>
        </w:rPr>
        <w:t>申请人应当在收到拨款通知之日起5个工作日内，提交拨付申请。</w:t>
      </w:r>
    </w:p>
    <w:p>
      <w:pPr>
        <w:snapToGrid w:val="0"/>
        <w:spacing w:line="520" w:lineRule="exact"/>
        <w:ind w:firstLine="640"/>
        <w:rPr>
          <w:rFonts w:ascii="黑体" w:hAnsi="黑体" w:eastAsia="黑体"/>
          <w:color w:val="auto"/>
          <w:szCs w:val="32"/>
        </w:rPr>
      </w:pPr>
      <w:r>
        <w:rPr>
          <w:rFonts w:hint="eastAsia" w:ascii="黑体" w:hAnsi="黑体" w:eastAsia="黑体"/>
          <w:color w:val="auto"/>
          <w:szCs w:val="32"/>
        </w:rPr>
        <w:t>十三、不予受理及资助情况</w:t>
      </w:r>
    </w:p>
    <w:p>
      <w:pPr>
        <w:snapToGrid w:val="0"/>
        <w:spacing w:line="520" w:lineRule="exact"/>
        <w:ind w:firstLine="640"/>
        <w:rPr>
          <w:rFonts w:ascii="仿宋_GB2312" w:hAnsi="Calibri"/>
          <w:color w:val="auto"/>
          <w:szCs w:val="32"/>
        </w:rPr>
      </w:pPr>
      <w:r>
        <w:rPr>
          <w:rFonts w:hint="eastAsia" w:ascii="仿宋_GB2312" w:hAnsi="Calibri"/>
          <w:color w:val="auto"/>
          <w:szCs w:val="32"/>
        </w:rPr>
        <w:t>有下列情形之一的，申请将不予受理，项目将不得获得资助：</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（一）申请资助时企业、机构、单位存在被列入国家黑名单、深圳黑名单、经营异常名录、失信被执行人信息未执行完毕或被列入严重违法失信信息的；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（二）申请之日前两年内企业、机构、单位存在被处以责令停产停业、暂扣或者吊销许可证、暂扣或者吊销执照行政处罚的；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（三）申请之日前两年内在盐田区发生一般及以上级别生产安全事故的；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（四）申请资助时个人存在被纳入失信被执行人名单的；</w:t>
      </w:r>
    </w:p>
    <w:p>
      <w:pPr>
        <w:snapToGrid w:val="0"/>
        <w:spacing w:line="560" w:lineRule="exact"/>
        <w:ind w:firstLine="640"/>
        <w:rPr>
          <w:rFonts w:hint="eastAsia" w:ascii="仿宋_GB2312" w:hAnsi="Calibri"/>
          <w:color w:val="auto"/>
          <w:szCs w:val="32"/>
        </w:rPr>
      </w:pPr>
      <w:r>
        <w:rPr>
          <w:rFonts w:hint="eastAsia" w:ascii="仿宋_GB2312" w:hAnsi="Calibri"/>
          <w:color w:val="auto"/>
          <w:szCs w:val="32"/>
        </w:rPr>
        <w:t>（五）区政府规定的其他不予受理的情形。</w:t>
      </w:r>
    </w:p>
    <w:p>
      <w:pPr>
        <w:snapToGrid w:val="0"/>
        <w:spacing w:line="560" w:lineRule="exact"/>
        <w:ind w:firstLine="640"/>
        <w:rPr>
          <w:rFonts w:ascii="黑体" w:hAnsi="Calibri" w:eastAsia="黑体"/>
          <w:color w:val="auto"/>
          <w:szCs w:val="32"/>
        </w:rPr>
      </w:pPr>
      <w:r>
        <w:rPr>
          <w:rFonts w:hint="eastAsia" w:ascii="黑体" w:hAnsi="Calibri" w:eastAsia="黑体"/>
          <w:color w:val="auto"/>
          <w:szCs w:val="32"/>
        </w:rPr>
        <w:t>十四、审核方式</w:t>
      </w:r>
    </w:p>
    <w:p>
      <w:pPr>
        <w:snapToGrid w:val="0"/>
        <w:spacing w:line="520" w:lineRule="exact"/>
        <w:ind w:firstLine="640"/>
        <w:rPr>
          <w:rFonts w:ascii="仿宋_GB2312" w:hAnsi="Calibri"/>
          <w:color w:val="auto"/>
          <w:szCs w:val="32"/>
        </w:rPr>
      </w:pPr>
      <w:r>
        <w:rPr>
          <w:rFonts w:hint="eastAsia" w:ascii="仿宋_GB2312" w:hAnsi="Calibri"/>
          <w:color w:val="auto"/>
          <w:szCs w:val="32"/>
        </w:rPr>
        <w:t>核准制。</w:t>
      </w:r>
    </w:p>
    <w:p>
      <w:pPr>
        <w:snapToGrid w:val="0"/>
        <w:spacing w:line="520" w:lineRule="exact"/>
        <w:ind w:firstLine="640"/>
        <w:rPr>
          <w:rFonts w:ascii="Cambria" w:hAnsi="Cambria" w:eastAsia="黑体" w:cstheme="majorBidi"/>
          <w:bCs/>
          <w:color w:val="auto"/>
          <w:kern w:val="0"/>
          <w:szCs w:val="32"/>
        </w:rPr>
      </w:pPr>
      <w:bookmarkStart w:id="22" w:name="_Toc13843565"/>
      <w:r>
        <w:rPr>
          <w:rFonts w:hint="eastAsia" w:ascii="Cambria" w:hAnsi="Cambria" w:eastAsia="黑体" w:cstheme="majorBidi"/>
          <w:bCs/>
          <w:color w:val="auto"/>
          <w:kern w:val="0"/>
          <w:szCs w:val="32"/>
        </w:rPr>
        <w:t>十五、有关注意事项</w:t>
      </w:r>
      <w:bookmarkEnd w:id="22"/>
    </w:p>
    <w:p>
      <w:pPr>
        <w:snapToGrid w:val="0"/>
        <w:spacing w:line="520" w:lineRule="exact"/>
        <w:ind w:firstLine="640"/>
        <w:rPr>
          <w:rFonts w:ascii="楷体_GB2312" w:hAnsi="Cambria" w:eastAsia="楷体_GB2312" w:cstheme="majorBidi"/>
          <w:bCs/>
          <w:color w:val="auto"/>
          <w:kern w:val="0"/>
          <w:szCs w:val="32"/>
        </w:rPr>
      </w:pPr>
      <w:r>
        <w:rPr>
          <w:rFonts w:hint="eastAsia" w:ascii="楷体_GB2312" w:hAnsi="Cambria" w:eastAsia="楷体_GB2312" w:cstheme="majorBidi"/>
          <w:bCs/>
          <w:color w:val="auto"/>
          <w:kern w:val="0"/>
          <w:szCs w:val="32"/>
        </w:rPr>
        <w:t>（一）</w:t>
      </w:r>
      <w:r>
        <w:rPr>
          <w:rFonts w:hint="eastAsia" w:ascii="楷体_GB2312" w:hAnsi="Calibri" w:eastAsia="楷体_GB2312" w:cs="宋体"/>
          <w:bCs/>
          <w:color w:val="auto"/>
          <w:szCs w:val="32"/>
        </w:rPr>
        <w:t>申请时间及资助金额</w:t>
      </w:r>
    </w:p>
    <w:p>
      <w:pPr>
        <w:snapToGrid w:val="0"/>
        <w:spacing w:line="520" w:lineRule="exact"/>
        <w:ind w:firstLine="640"/>
        <w:rPr>
          <w:rFonts w:ascii="仿宋_GB2312"/>
          <w:color w:val="auto"/>
          <w:szCs w:val="32"/>
        </w:rPr>
      </w:pPr>
      <w:r>
        <w:rPr>
          <w:rFonts w:hint="eastAsia" w:ascii="仿宋_GB2312"/>
          <w:color w:val="auto"/>
          <w:szCs w:val="32"/>
        </w:rPr>
        <w:t>1、申请《办法》第十一条租金扶持的企业，分以下两种情形：</w:t>
      </w:r>
    </w:p>
    <w:p>
      <w:pPr>
        <w:snapToGrid w:val="0"/>
        <w:spacing w:line="520" w:lineRule="exact"/>
        <w:ind w:firstLine="640"/>
        <w:rPr>
          <w:rFonts w:ascii="仿宋_GB2312"/>
          <w:color w:val="auto"/>
          <w:szCs w:val="32"/>
        </w:rPr>
      </w:pPr>
      <w:r>
        <w:rPr>
          <w:rFonts w:hint="eastAsia" w:ascii="仿宋_GB2312"/>
          <w:color w:val="auto"/>
          <w:szCs w:val="32"/>
        </w:rPr>
        <w:t>（1）如此前已有租赁用房，则在认定次日起可申请</w:t>
      </w:r>
      <w:r>
        <w:rPr>
          <w:rFonts w:hint="eastAsia" w:ascii="仿宋_GB2312"/>
          <w:color w:val="auto"/>
          <w:szCs w:val="32"/>
          <w:lang w:eastAsia="zh-CN"/>
        </w:rPr>
        <w:t>近</w:t>
      </w:r>
      <w:r>
        <w:rPr>
          <w:rFonts w:hint="eastAsia" w:ascii="仿宋_GB2312"/>
          <w:color w:val="auto"/>
          <w:szCs w:val="32"/>
        </w:rPr>
        <w:t>一年度（截至认定为总部企业的前一月份）的租房资助，可连续申请三年，每年不超过500万元。资助金额为</w:t>
      </w:r>
      <w:r>
        <w:rPr>
          <w:rFonts w:hint="eastAsia" w:ascii="仿宋_GB2312"/>
          <w:color w:val="auto"/>
          <w:szCs w:val="32"/>
          <w:lang w:eastAsia="zh-CN"/>
        </w:rPr>
        <w:t>近</w:t>
      </w:r>
      <w:r>
        <w:rPr>
          <w:rFonts w:hint="eastAsia" w:ascii="仿宋_GB2312"/>
          <w:color w:val="auto"/>
          <w:szCs w:val="32"/>
        </w:rPr>
        <w:t>一年度实际租金的50%。</w:t>
      </w:r>
    </w:p>
    <w:p>
      <w:pPr>
        <w:snapToGrid w:val="0"/>
        <w:spacing w:line="520" w:lineRule="exact"/>
        <w:ind w:firstLine="640"/>
        <w:rPr>
          <w:rFonts w:ascii="仿宋_GB2312"/>
          <w:color w:val="auto"/>
          <w:szCs w:val="32"/>
        </w:rPr>
      </w:pPr>
      <w:r>
        <w:rPr>
          <w:rFonts w:hint="eastAsia" w:ascii="仿宋_GB2312"/>
          <w:color w:val="auto"/>
          <w:szCs w:val="32"/>
        </w:rPr>
        <w:t>备注：如A公司</w:t>
      </w:r>
      <w:r>
        <w:rPr>
          <w:rFonts w:hint="eastAsia" w:ascii="仿宋_GB2312"/>
          <w:color w:val="auto"/>
          <w:szCs w:val="32"/>
          <w:lang w:val="en-US" w:eastAsia="zh-CN"/>
        </w:rPr>
        <w:t>2021年</w:t>
      </w:r>
      <w:r>
        <w:rPr>
          <w:rFonts w:hint="eastAsia" w:ascii="仿宋_GB2312"/>
          <w:color w:val="auto"/>
          <w:szCs w:val="32"/>
        </w:rPr>
        <w:t>8月1日认定为盐田区总部企业，8月2日即可提交</w:t>
      </w:r>
      <w:r>
        <w:rPr>
          <w:rFonts w:hint="eastAsia" w:ascii="仿宋_GB2312"/>
          <w:color w:val="auto"/>
          <w:szCs w:val="32"/>
          <w:lang w:eastAsia="zh-CN"/>
        </w:rPr>
        <w:t>近</w:t>
      </w:r>
      <w:r>
        <w:rPr>
          <w:rFonts w:hint="eastAsia" w:ascii="仿宋_GB2312"/>
          <w:color w:val="auto"/>
          <w:szCs w:val="32"/>
        </w:rPr>
        <w:t>一年度的租房资助申请，具体资助时间为</w:t>
      </w:r>
      <w:r>
        <w:rPr>
          <w:rFonts w:hint="eastAsia" w:ascii="仿宋_GB2312"/>
          <w:color w:val="auto"/>
          <w:szCs w:val="32"/>
          <w:lang w:val="en-US" w:eastAsia="zh-CN"/>
        </w:rPr>
        <w:t>2020</w:t>
      </w:r>
      <w:r>
        <w:rPr>
          <w:rFonts w:hint="eastAsia" w:ascii="仿宋_GB2312"/>
          <w:color w:val="auto"/>
          <w:szCs w:val="32"/>
        </w:rPr>
        <w:t>年8月至</w:t>
      </w:r>
      <w:r>
        <w:rPr>
          <w:rFonts w:hint="eastAsia" w:ascii="仿宋_GB2312"/>
          <w:color w:val="auto"/>
          <w:szCs w:val="32"/>
          <w:lang w:val="en-US" w:eastAsia="zh-CN"/>
        </w:rPr>
        <w:t>2021</w:t>
      </w:r>
      <w:r>
        <w:rPr>
          <w:rFonts w:hint="eastAsia" w:ascii="仿宋_GB2312"/>
          <w:color w:val="auto"/>
          <w:szCs w:val="32"/>
        </w:rPr>
        <w:t>年7月。</w:t>
      </w:r>
    </w:p>
    <w:p>
      <w:pPr>
        <w:snapToGrid w:val="0"/>
        <w:spacing w:line="520" w:lineRule="exact"/>
        <w:ind w:firstLine="640"/>
        <w:rPr>
          <w:rFonts w:ascii="仿宋_GB2312"/>
          <w:color w:val="auto"/>
          <w:szCs w:val="32"/>
        </w:rPr>
      </w:pPr>
      <w:r>
        <w:rPr>
          <w:rFonts w:hint="eastAsia" w:ascii="仿宋_GB2312"/>
          <w:color w:val="auto"/>
          <w:szCs w:val="32"/>
        </w:rPr>
        <w:t>（2）如此前未有租赁办公用房，认定后才在盐田区租赁办公用房，签订租赁用房合同且支付租金满一年后，方可提出租金扶持。如届时已失去总部企业资格，则无法享受租金扶持。</w:t>
      </w:r>
    </w:p>
    <w:p>
      <w:pPr>
        <w:keepNext/>
        <w:keepLines/>
        <w:widowControl/>
        <w:spacing w:line="560" w:lineRule="exact"/>
        <w:ind w:firstLine="640" w:firstLineChars="200"/>
        <w:jc w:val="both"/>
        <w:outlineLvl w:val="2"/>
        <w:rPr>
          <w:rFonts w:ascii="仿宋_GB2312"/>
          <w:color w:val="auto"/>
          <w:szCs w:val="32"/>
        </w:rPr>
      </w:pPr>
      <w:r>
        <w:rPr>
          <w:rFonts w:hint="eastAsia" w:ascii="仿宋_GB2312"/>
          <w:color w:val="auto"/>
          <w:szCs w:val="32"/>
        </w:rPr>
        <w:t>备注：如B公司20</w:t>
      </w:r>
      <w:r>
        <w:rPr>
          <w:rFonts w:hint="eastAsia" w:ascii="仿宋_GB2312"/>
          <w:color w:val="auto"/>
          <w:szCs w:val="32"/>
          <w:lang w:val="en-US" w:eastAsia="zh-CN"/>
        </w:rPr>
        <w:t>21</w:t>
      </w:r>
      <w:r>
        <w:rPr>
          <w:rFonts w:hint="eastAsia" w:ascii="仿宋_GB2312"/>
          <w:color w:val="auto"/>
          <w:szCs w:val="32"/>
        </w:rPr>
        <w:t>年认定为盐田区总部企业，202</w:t>
      </w:r>
      <w:r>
        <w:rPr>
          <w:rFonts w:hint="eastAsia" w:ascii="仿宋_GB2312"/>
          <w:color w:val="auto"/>
          <w:szCs w:val="32"/>
          <w:lang w:val="en-US" w:eastAsia="zh-CN"/>
        </w:rPr>
        <w:t>2</w:t>
      </w:r>
      <w:r>
        <w:rPr>
          <w:rFonts w:hint="eastAsia" w:ascii="仿宋_GB2312"/>
          <w:color w:val="auto"/>
          <w:szCs w:val="32"/>
        </w:rPr>
        <w:t>年5月租赁办公用房，则202</w:t>
      </w:r>
      <w:r>
        <w:rPr>
          <w:rFonts w:hint="eastAsia" w:ascii="仿宋_GB2312"/>
          <w:color w:val="auto"/>
          <w:szCs w:val="32"/>
          <w:lang w:val="en-US" w:eastAsia="zh-CN"/>
        </w:rPr>
        <w:t>3</w:t>
      </w:r>
      <w:r>
        <w:rPr>
          <w:rFonts w:hint="eastAsia" w:ascii="仿宋_GB2312"/>
          <w:color w:val="auto"/>
          <w:szCs w:val="32"/>
        </w:rPr>
        <w:t>年5月方可申请租房资助，具体资助时间为202</w:t>
      </w:r>
      <w:r>
        <w:rPr>
          <w:rFonts w:hint="eastAsia" w:ascii="仿宋_GB2312"/>
          <w:color w:val="auto"/>
          <w:szCs w:val="32"/>
          <w:lang w:val="en-US" w:eastAsia="zh-CN"/>
        </w:rPr>
        <w:t>2</w:t>
      </w:r>
      <w:r>
        <w:rPr>
          <w:rFonts w:hint="eastAsia" w:ascii="仿宋_GB2312"/>
          <w:color w:val="auto"/>
          <w:szCs w:val="32"/>
        </w:rPr>
        <w:t>年5月-202</w:t>
      </w:r>
      <w:r>
        <w:rPr>
          <w:rFonts w:hint="eastAsia" w:ascii="仿宋_GB2312"/>
          <w:color w:val="auto"/>
          <w:szCs w:val="32"/>
          <w:lang w:val="en-US" w:eastAsia="zh-CN"/>
        </w:rPr>
        <w:t>3</w:t>
      </w:r>
      <w:r>
        <w:rPr>
          <w:rFonts w:hint="eastAsia" w:ascii="仿宋_GB2312"/>
          <w:color w:val="auto"/>
          <w:szCs w:val="32"/>
        </w:rPr>
        <w:t>年4月。</w:t>
      </w:r>
    </w:p>
    <w:p>
      <w:pPr>
        <w:snapToGrid w:val="0"/>
        <w:spacing w:line="520" w:lineRule="exact"/>
        <w:ind w:firstLine="640"/>
        <w:rPr>
          <w:rFonts w:ascii="仿宋_GB2312"/>
          <w:color w:val="auto"/>
          <w:szCs w:val="32"/>
        </w:rPr>
      </w:pPr>
      <w:r>
        <w:rPr>
          <w:rFonts w:hint="eastAsia" w:ascii="仿宋_GB2312"/>
          <w:color w:val="auto"/>
          <w:szCs w:val="32"/>
        </w:rPr>
        <w:t>2、申请《办法》第十二条购房资助的企业，在认定前购置用房的，无法进行购房申请。认定后5年内购置用房的，须于签订购房合同并获得房产证后3个月内申请购置费用扶持。如届时已失去总部企业资格，则无法享受购置费用扶持。如此前已获得租金扶持的，需扣除租金扶持金额。</w:t>
      </w:r>
    </w:p>
    <w:p>
      <w:pPr>
        <w:keepNext/>
        <w:keepLines/>
        <w:widowControl/>
        <w:spacing w:line="560" w:lineRule="exact"/>
        <w:ind w:firstLine="640" w:firstLineChars="200"/>
        <w:jc w:val="both"/>
        <w:outlineLvl w:val="2"/>
        <w:rPr>
          <w:rFonts w:hint="eastAsia" w:ascii="仿宋_GB2312"/>
          <w:color w:val="auto"/>
          <w:szCs w:val="32"/>
        </w:rPr>
      </w:pPr>
      <w:r>
        <w:rPr>
          <w:rFonts w:hint="eastAsia" w:ascii="仿宋_GB2312"/>
          <w:color w:val="auto"/>
          <w:szCs w:val="32"/>
        </w:rPr>
        <w:t>备注：如C公司20</w:t>
      </w:r>
      <w:r>
        <w:rPr>
          <w:rFonts w:hint="eastAsia" w:ascii="仿宋_GB2312"/>
          <w:color w:val="auto"/>
          <w:szCs w:val="32"/>
          <w:lang w:val="en-US" w:eastAsia="zh-CN"/>
        </w:rPr>
        <w:t>21</w:t>
      </w:r>
      <w:r>
        <w:rPr>
          <w:rFonts w:hint="eastAsia" w:ascii="仿宋_GB2312"/>
          <w:color w:val="auto"/>
          <w:szCs w:val="32"/>
        </w:rPr>
        <w:t>年8月1日认定为盐田区总部企业。则在20</w:t>
      </w:r>
      <w:r>
        <w:rPr>
          <w:rFonts w:hint="eastAsia" w:ascii="仿宋_GB2312"/>
          <w:color w:val="auto"/>
          <w:szCs w:val="32"/>
          <w:lang w:val="en-US" w:eastAsia="zh-CN"/>
        </w:rPr>
        <w:t>21</w:t>
      </w:r>
      <w:r>
        <w:rPr>
          <w:rFonts w:hint="eastAsia" w:ascii="仿宋_GB2312"/>
          <w:color w:val="auto"/>
          <w:szCs w:val="32"/>
        </w:rPr>
        <w:t>年8月1日-202</w:t>
      </w:r>
      <w:r>
        <w:rPr>
          <w:rFonts w:hint="eastAsia" w:ascii="仿宋_GB2312"/>
          <w:color w:val="auto"/>
          <w:szCs w:val="32"/>
          <w:lang w:val="en-US" w:eastAsia="zh-CN"/>
        </w:rPr>
        <w:t>6</w:t>
      </w:r>
      <w:r>
        <w:rPr>
          <w:rFonts w:hint="eastAsia" w:ascii="仿宋_GB2312"/>
          <w:color w:val="auto"/>
          <w:szCs w:val="32"/>
        </w:rPr>
        <w:t>年7月31日内购置办公用房的，可申请购置费用扶持。</w:t>
      </w:r>
    </w:p>
    <w:p>
      <w:pPr>
        <w:keepNext/>
        <w:keepLines/>
        <w:widowControl/>
        <w:spacing w:line="560" w:lineRule="exact"/>
        <w:ind w:firstLine="640" w:firstLineChars="200"/>
        <w:jc w:val="both"/>
        <w:outlineLvl w:val="2"/>
        <w:rPr>
          <w:rFonts w:hint="default" w:ascii="仿宋_GB2312" w:eastAsia="仿宋_GB2312"/>
          <w:color w:val="auto"/>
          <w:szCs w:val="32"/>
          <w:lang w:val="en-US" w:eastAsia="zh-CN"/>
        </w:rPr>
      </w:pPr>
      <w:r>
        <w:rPr>
          <w:rFonts w:hint="eastAsia" w:ascii="仿宋_GB2312"/>
          <w:color w:val="auto"/>
          <w:szCs w:val="32"/>
          <w:lang w:val="en-US" w:eastAsia="zh-CN"/>
        </w:rPr>
        <w:t>3、</w:t>
      </w:r>
      <w:r>
        <w:rPr>
          <w:rFonts w:hint="eastAsia" w:ascii="仿宋_GB2312" w:hAnsi="Calibri" w:cs="宋体"/>
          <w:bCs/>
          <w:color w:val="auto"/>
          <w:szCs w:val="32"/>
          <w:highlight w:val="none"/>
          <w:lang w:eastAsia="zh-CN"/>
        </w:rPr>
        <w:t>因</w:t>
      </w:r>
      <w:r>
        <w:rPr>
          <w:rFonts w:hint="eastAsia" w:ascii="仿宋_GB2312" w:hAnsi="Calibri"/>
          <w:color w:val="auto"/>
          <w:szCs w:val="32"/>
        </w:rPr>
        <w:t>《</w:t>
      </w:r>
      <w:r>
        <w:rPr>
          <w:rFonts w:hint="eastAsia"/>
          <w:color w:val="auto"/>
          <w:szCs w:val="32"/>
        </w:rPr>
        <w:t>盐田区支持总部企业发展实施办法</w:t>
      </w:r>
      <w:r>
        <w:rPr>
          <w:rFonts w:hint="eastAsia" w:ascii="仿宋_GB2312" w:hAnsi="Calibri"/>
          <w:color w:val="auto"/>
          <w:szCs w:val="32"/>
        </w:rPr>
        <w:t>》</w:t>
      </w:r>
      <w:r>
        <w:rPr>
          <w:rFonts w:hint="eastAsia" w:ascii="仿宋_GB2312" w:hAnsi="Calibri"/>
          <w:color w:val="auto"/>
          <w:szCs w:val="32"/>
          <w:lang w:eastAsia="zh-CN"/>
        </w:rPr>
        <w:t>（</w:t>
      </w:r>
      <w:r>
        <w:rPr>
          <w:rFonts w:hint="eastAsia" w:ascii="仿宋_GB2312" w:hAnsi="Calibri"/>
          <w:color w:val="auto"/>
          <w:szCs w:val="32"/>
        </w:rPr>
        <w:t>盐田区人民政府，深盐府规〔2019〕5号</w:t>
      </w:r>
      <w:r>
        <w:rPr>
          <w:rFonts w:hint="eastAsia" w:ascii="仿宋_GB2312" w:hAnsi="Calibri"/>
          <w:color w:val="auto"/>
          <w:szCs w:val="32"/>
          <w:lang w:eastAsia="zh-CN"/>
        </w:rPr>
        <w:t>）将于</w:t>
      </w:r>
      <w:r>
        <w:rPr>
          <w:rFonts w:hint="eastAsia" w:ascii="仿宋_GB2312" w:hAnsi="Calibri"/>
          <w:color w:val="auto"/>
          <w:szCs w:val="32"/>
          <w:lang w:val="en-US" w:eastAsia="zh-CN"/>
        </w:rPr>
        <w:t>2022年12月31日到期，到期后按届时最新政策执行。</w:t>
      </w:r>
    </w:p>
    <w:p>
      <w:pPr>
        <w:pStyle w:val="27"/>
        <w:spacing w:line="560" w:lineRule="atLeast"/>
        <w:ind w:firstLine="640" w:firstLineChars="200"/>
        <w:jc w:val="both"/>
        <w:rPr>
          <w:rFonts w:ascii="楷体_GB2312" w:eastAsia="楷体_GB2312" w:cs="仿宋_GB2312"/>
          <w:color w:val="auto"/>
          <w:sz w:val="32"/>
          <w:szCs w:val="32"/>
        </w:rPr>
      </w:pPr>
      <w:r>
        <w:rPr>
          <w:rFonts w:hint="eastAsia" w:ascii="楷体_GB2312" w:eastAsia="楷体_GB2312" w:cs="仿宋_GB2312"/>
          <w:color w:val="auto"/>
          <w:sz w:val="32"/>
          <w:szCs w:val="32"/>
        </w:rPr>
        <w:t>（二）履行相关承诺</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1、经认定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2、总部企业在享受扶持期间，对受补助的研发办公和生产场地不得出（转）租出售，不得改变用途。享受购房补助的研发办公和生产场地，在购房5年内不得出售、出租或改变用途，违反规定的，责令退回已获得的补助，将其失信行为纳入企业信用信息。如确因提高房产利用效率而需出（转）租出售的，事前需向区工业和信息化局申请，按比例退回所享受的补助资金。</w:t>
      </w:r>
      <w:r>
        <w:rPr>
          <w:rFonts w:ascii="仿宋_GB2312" w:eastAsia="仿宋_GB2312" w:cs="仿宋_GB2312"/>
          <w:color w:val="auto"/>
          <w:sz w:val="32"/>
          <w:szCs w:val="32"/>
        </w:rPr>
        <w:t xml:space="preserve"> </w:t>
      </w:r>
    </w:p>
    <w:p>
      <w:pPr>
        <w:pStyle w:val="27"/>
        <w:spacing w:line="560" w:lineRule="atLeast"/>
        <w:ind w:firstLine="640" w:firstLineChars="200"/>
        <w:jc w:val="both"/>
        <w:rPr>
          <w:rFonts w:ascii="仿宋_GB2312" w:eastAsia="仿宋_GB2312" w:cs="仿宋_GB2312"/>
          <w:color w:val="auto"/>
          <w:sz w:val="32"/>
          <w:szCs w:val="32"/>
        </w:rPr>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59628"/>
      <w:docPartObj>
        <w:docPartGallery w:val="autotext"/>
      </w:docPartObj>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174"/>
    <w:rsid w:val="000013AA"/>
    <w:rsid w:val="000021E4"/>
    <w:rsid w:val="00012D7A"/>
    <w:rsid w:val="00035CF3"/>
    <w:rsid w:val="00043480"/>
    <w:rsid w:val="000438B5"/>
    <w:rsid w:val="000504E6"/>
    <w:rsid w:val="0005146C"/>
    <w:rsid w:val="00052F89"/>
    <w:rsid w:val="00061519"/>
    <w:rsid w:val="00071CBF"/>
    <w:rsid w:val="00073A78"/>
    <w:rsid w:val="0007488E"/>
    <w:rsid w:val="00085510"/>
    <w:rsid w:val="00086AD3"/>
    <w:rsid w:val="000B1699"/>
    <w:rsid w:val="000B25A3"/>
    <w:rsid w:val="000B439C"/>
    <w:rsid w:val="000C1638"/>
    <w:rsid w:val="000C7876"/>
    <w:rsid w:val="000E2A1D"/>
    <w:rsid w:val="000E559B"/>
    <w:rsid w:val="000E6A8B"/>
    <w:rsid w:val="000E7541"/>
    <w:rsid w:val="000F1FC8"/>
    <w:rsid w:val="000F6207"/>
    <w:rsid w:val="00102A69"/>
    <w:rsid w:val="00110439"/>
    <w:rsid w:val="001143C4"/>
    <w:rsid w:val="00130FCC"/>
    <w:rsid w:val="00131217"/>
    <w:rsid w:val="00132A56"/>
    <w:rsid w:val="00140D71"/>
    <w:rsid w:val="001416C5"/>
    <w:rsid w:val="00145EA1"/>
    <w:rsid w:val="00147810"/>
    <w:rsid w:val="00166D7F"/>
    <w:rsid w:val="0017604A"/>
    <w:rsid w:val="00193AFE"/>
    <w:rsid w:val="001C6550"/>
    <w:rsid w:val="001E2F17"/>
    <w:rsid w:val="001E3CD3"/>
    <w:rsid w:val="001E4C76"/>
    <w:rsid w:val="001E4E55"/>
    <w:rsid w:val="001E6EB1"/>
    <w:rsid w:val="001E7C0C"/>
    <w:rsid w:val="001F11B4"/>
    <w:rsid w:val="001F1DE3"/>
    <w:rsid w:val="001F35FD"/>
    <w:rsid w:val="001F51BD"/>
    <w:rsid w:val="00210A4F"/>
    <w:rsid w:val="002145AD"/>
    <w:rsid w:val="00225F83"/>
    <w:rsid w:val="00227682"/>
    <w:rsid w:val="00232CA9"/>
    <w:rsid w:val="00242A2C"/>
    <w:rsid w:val="00242A40"/>
    <w:rsid w:val="0024364E"/>
    <w:rsid w:val="00245E05"/>
    <w:rsid w:val="00262E3A"/>
    <w:rsid w:val="00281A8E"/>
    <w:rsid w:val="002908B9"/>
    <w:rsid w:val="002939D7"/>
    <w:rsid w:val="002A793D"/>
    <w:rsid w:val="002B14DB"/>
    <w:rsid w:val="002B3BC3"/>
    <w:rsid w:val="002B44CE"/>
    <w:rsid w:val="002B5F2D"/>
    <w:rsid w:val="002C2653"/>
    <w:rsid w:val="002C565C"/>
    <w:rsid w:val="002D2036"/>
    <w:rsid w:val="002D35FA"/>
    <w:rsid w:val="002D3E1C"/>
    <w:rsid w:val="002E246B"/>
    <w:rsid w:val="002E5816"/>
    <w:rsid w:val="002F2B16"/>
    <w:rsid w:val="002F6A9D"/>
    <w:rsid w:val="00302139"/>
    <w:rsid w:val="00302995"/>
    <w:rsid w:val="0031372D"/>
    <w:rsid w:val="00315376"/>
    <w:rsid w:val="003203CD"/>
    <w:rsid w:val="00327840"/>
    <w:rsid w:val="00345C91"/>
    <w:rsid w:val="00353251"/>
    <w:rsid w:val="00354972"/>
    <w:rsid w:val="00375A75"/>
    <w:rsid w:val="00387FA1"/>
    <w:rsid w:val="00393BA3"/>
    <w:rsid w:val="003B1E58"/>
    <w:rsid w:val="003C188F"/>
    <w:rsid w:val="003D0E83"/>
    <w:rsid w:val="003D57FC"/>
    <w:rsid w:val="003E13FD"/>
    <w:rsid w:val="003E622F"/>
    <w:rsid w:val="003F26E0"/>
    <w:rsid w:val="003F3365"/>
    <w:rsid w:val="003F33F7"/>
    <w:rsid w:val="003F6454"/>
    <w:rsid w:val="00400930"/>
    <w:rsid w:val="0040569E"/>
    <w:rsid w:val="00406C45"/>
    <w:rsid w:val="004116C9"/>
    <w:rsid w:val="00412797"/>
    <w:rsid w:val="00414EB2"/>
    <w:rsid w:val="004375BE"/>
    <w:rsid w:val="00452BB2"/>
    <w:rsid w:val="00473FD2"/>
    <w:rsid w:val="00485D12"/>
    <w:rsid w:val="00486324"/>
    <w:rsid w:val="004B170A"/>
    <w:rsid w:val="004B7767"/>
    <w:rsid w:val="004C0501"/>
    <w:rsid w:val="004C6633"/>
    <w:rsid w:val="004D00E8"/>
    <w:rsid w:val="004E21E5"/>
    <w:rsid w:val="004F56C4"/>
    <w:rsid w:val="004F707A"/>
    <w:rsid w:val="00500203"/>
    <w:rsid w:val="005033D8"/>
    <w:rsid w:val="00512188"/>
    <w:rsid w:val="00523A68"/>
    <w:rsid w:val="00557F93"/>
    <w:rsid w:val="005611C7"/>
    <w:rsid w:val="005A67C1"/>
    <w:rsid w:val="005B37AE"/>
    <w:rsid w:val="005B56EF"/>
    <w:rsid w:val="005B638B"/>
    <w:rsid w:val="005B6EEA"/>
    <w:rsid w:val="005C0A97"/>
    <w:rsid w:val="005C243C"/>
    <w:rsid w:val="005D0A16"/>
    <w:rsid w:val="005D468E"/>
    <w:rsid w:val="005E2ECB"/>
    <w:rsid w:val="005F31DD"/>
    <w:rsid w:val="005F6CF7"/>
    <w:rsid w:val="00610F5A"/>
    <w:rsid w:val="006174D5"/>
    <w:rsid w:val="00625747"/>
    <w:rsid w:val="006336DD"/>
    <w:rsid w:val="006628FA"/>
    <w:rsid w:val="00675B6A"/>
    <w:rsid w:val="00682A08"/>
    <w:rsid w:val="006965E1"/>
    <w:rsid w:val="0069729F"/>
    <w:rsid w:val="006A1F9C"/>
    <w:rsid w:val="006D092F"/>
    <w:rsid w:val="006D1960"/>
    <w:rsid w:val="006E04C2"/>
    <w:rsid w:val="006F3504"/>
    <w:rsid w:val="006F5044"/>
    <w:rsid w:val="006F6A5B"/>
    <w:rsid w:val="006F79ED"/>
    <w:rsid w:val="00701F72"/>
    <w:rsid w:val="007026FD"/>
    <w:rsid w:val="0071777A"/>
    <w:rsid w:val="00723377"/>
    <w:rsid w:val="00732F43"/>
    <w:rsid w:val="00737F5D"/>
    <w:rsid w:val="00747167"/>
    <w:rsid w:val="0075270E"/>
    <w:rsid w:val="00753D98"/>
    <w:rsid w:val="007620C9"/>
    <w:rsid w:val="0076302F"/>
    <w:rsid w:val="00771B1D"/>
    <w:rsid w:val="0077510B"/>
    <w:rsid w:val="0079136C"/>
    <w:rsid w:val="007B0CC6"/>
    <w:rsid w:val="007B46EF"/>
    <w:rsid w:val="007B6A90"/>
    <w:rsid w:val="007E0015"/>
    <w:rsid w:val="008038E7"/>
    <w:rsid w:val="0081568D"/>
    <w:rsid w:val="00816AEB"/>
    <w:rsid w:val="008178D2"/>
    <w:rsid w:val="00822EAE"/>
    <w:rsid w:val="0085383B"/>
    <w:rsid w:val="0087690A"/>
    <w:rsid w:val="00880993"/>
    <w:rsid w:val="00881A67"/>
    <w:rsid w:val="00887808"/>
    <w:rsid w:val="00892036"/>
    <w:rsid w:val="008B26D5"/>
    <w:rsid w:val="008B2DEC"/>
    <w:rsid w:val="008B34E0"/>
    <w:rsid w:val="008B694D"/>
    <w:rsid w:val="008D14D2"/>
    <w:rsid w:val="008D4C67"/>
    <w:rsid w:val="008F25FF"/>
    <w:rsid w:val="008F47B8"/>
    <w:rsid w:val="00901E6D"/>
    <w:rsid w:val="00914165"/>
    <w:rsid w:val="0091480D"/>
    <w:rsid w:val="00920062"/>
    <w:rsid w:val="0093690C"/>
    <w:rsid w:val="009403C0"/>
    <w:rsid w:val="00951A8D"/>
    <w:rsid w:val="009574F0"/>
    <w:rsid w:val="009603EE"/>
    <w:rsid w:val="0096252A"/>
    <w:rsid w:val="0098047A"/>
    <w:rsid w:val="0098495F"/>
    <w:rsid w:val="009911EC"/>
    <w:rsid w:val="00992034"/>
    <w:rsid w:val="00995A94"/>
    <w:rsid w:val="00997615"/>
    <w:rsid w:val="009A133E"/>
    <w:rsid w:val="009C282D"/>
    <w:rsid w:val="009C361E"/>
    <w:rsid w:val="009D3BFC"/>
    <w:rsid w:val="009D66BF"/>
    <w:rsid w:val="00A03056"/>
    <w:rsid w:val="00A60E08"/>
    <w:rsid w:val="00A71CC4"/>
    <w:rsid w:val="00A84CBE"/>
    <w:rsid w:val="00A90491"/>
    <w:rsid w:val="00A95EAF"/>
    <w:rsid w:val="00A97C48"/>
    <w:rsid w:val="00AA014D"/>
    <w:rsid w:val="00AA3060"/>
    <w:rsid w:val="00AA5C7C"/>
    <w:rsid w:val="00AB59F6"/>
    <w:rsid w:val="00AC7142"/>
    <w:rsid w:val="00AD3776"/>
    <w:rsid w:val="00AD4B78"/>
    <w:rsid w:val="00AD7AEF"/>
    <w:rsid w:val="00AE7C14"/>
    <w:rsid w:val="00AF0193"/>
    <w:rsid w:val="00AF67D4"/>
    <w:rsid w:val="00B010C8"/>
    <w:rsid w:val="00B032AC"/>
    <w:rsid w:val="00B11FFA"/>
    <w:rsid w:val="00B31BF8"/>
    <w:rsid w:val="00B417CE"/>
    <w:rsid w:val="00B43149"/>
    <w:rsid w:val="00B503DE"/>
    <w:rsid w:val="00B54963"/>
    <w:rsid w:val="00B62298"/>
    <w:rsid w:val="00B803FF"/>
    <w:rsid w:val="00B81D48"/>
    <w:rsid w:val="00B85683"/>
    <w:rsid w:val="00B8674A"/>
    <w:rsid w:val="00B94655"/>
    <w:rsid w:val="00BA4E88"/>
    <w:rsid w:val="00BB4DFB"/>
    <w:rsid w:val="00BC1E0A"/>
    <w:rsid w:val="00BC3DAF"/>
    <w:rsid w:val="00BC55F5"/>
    <w:rsid w:val="00BC62F2"/>
    <w:rsid w:val="00BD0174"/>
    <w:rsid w:val="00BD39D7"/>
    <w:rsid w:val="00BE17FE"/>
    <w:rsid w:val="00BF0574"/>
    <w:rsid w:val="00BF19B3"/>
    <w:rsid w:val="00C0697C"/>
    <w:rsid w:val="00C3008A"/>
    <w:rsid w:val="00C474CF"/>
    <w:rsid w:val="00C569C4"/>
    <w:rsid w:val="00C703FF"/>
    <w:rsid w:val="00C73642"/>
    <w:rsid w:val="00C74F40"/>
    <w:rsid w:val="00C8056F"/>
    <w:rsid w:val="00C87198"/>
    <w:rsid w:val="00C934F4"/>
    <w:rsid w:val="00CA0433"/>
    <w:rsid w:val="00CB535C"/>
    <w:rsid w:val="00CC3ADB"/>
    <w:rsid w:val="00CC3D40"/>
    <w:rsid w:val="00CD4333"/>
    <w:rsid w:val="00CD5B33"/>
    <w:rsid w:val="00CE26EB"/>
    <w:rsid w:val="00CE5C19"/>
    <w:rsid w:val="00CE76BC"/>
    <w:rsid w:val="00D0576F"/>
    <w:rsid w:val="00D06599"/>
    <w:rsid w:val="00D14CB6"/>
    <w:rsid w:val="00D170C9"/>
    <w:rsid w:val="00D23F9F"/>
    <w:rsid w:val="00D32FFD"/>
    <w:rsid w:val="00D40278"/>
    <w:rsid w:val="00D52121"/>
    <w:rsid w:val="00D66FEA"/>
    <w:rsid w:val="00D7321F"/>
    <w:rsid w:val="00D752FE"/>
    <w:rsid w:val="00D86EAD"/>
    <w:rsid w:val="00D94F43"/>
    <w:rsid w:val="00DA09EC"/>
    <w:rsid w:val="00DA5E9D"/>
    <w:rsid w:val="00DB1802"/>
    <w:rsid w:val="00DB2E4A"/>
    <w:rsid w:val="00DC1572"/>
    <w:rsid w:val="00DC1AD2"/>
    <w:rsid w:val="00DE3D53"/>
    <w:rsid w:val="00E060DC"/>
    <w:rsid w:val="00E14E64"/>
    <w:rsid w:val="00E23DBD"/>
    <w:rsid w:val="00E323E8"/>
    <w:rsid w:val="00E3633E"/>
    <w:rsid w:val="00E40E52"/>
    <w:rsid w:val="00E43865"/>
    <w:rsid w:val="00E573D5"/>
    <w:rsid w:val="00E6009B"/>
    <w:rsid w:val="00E60502"/>
    <w:rsid w:val="00E62A73"/>
    <w:rsid w:val="00E73520"/>
    <w:rsid w:val="00E751B9"/>
    <w:rsid w:val="00E83817"/>
    <w:rsid w:val="00E9476B"/>
    <w:rsid w:val="00EA1A57"/>
    <w:rsid w:val="00EA210D"/>
    <w:rsid w:val="00EC70F6"/>
    <w:rsid w:val="00EE260D"/>
    <w:rsid w:val="00EE3C40"/>
    <w:rsid w:val="00EF6182"/>
    <w:rsid w:val="00EF6277"/>
    <w:rsid w:val="00F02FCC"/>
    <w:rsid w:val="00F03036"/>
    <w:rsid w:val="00F11F19"/>
    <w:rsid w:val="00F229DD"/>
    <w:rsid w:val="00F4469F"/>
    <w:rsid w:val="00F62797"/>
    <w:rsid w:val="00F70F28"/>
    <w:rsid w:val="00F74831"/>
    <w:rsid w:val="00F75D57"/>
    <w:rsid w:val="00F831A8"/>
    <w:rsid w:val="00FA11C9"/>
    <w:rsid w:val="00FA7EFA"/>
    <w:rsid w:val="00FD0CE3"/>
    <w:rsid w:val="00FD31D3"/>
    <w:rsid w:val="00FF4896"/>
    <w:rsid w:val="0A1D3473"/>
    <w:rsid w:val="0B9B591A"/>
    <w:rsid w:val="0C7222C0"/>
    <w:rsid w:val="0FD85FA1"/>
    <w:rsid w:val="12826CEC"/>
    <w:rsid w:val="2CF511D3"/>
    <w:rsid w:val="2DB159FD"/>
    <w:rsid w:val="386B3FC1"/>
    <w:rsid w:val="3BCC4240"/>
    <w:rsid w:val="3BE220BE"/>
    <w:rsid w:val="3CAE50A3"/>
    <w:rsid w:val="3D774E49"/>
    <w:rsid w:val="3DA541B8"/>
    <w:rsid w:val="3EC62C3E"/>
    <w:rsid w:val="3FCB367A"/>
    <w:rsid w:val="47FC30D4"/>
    <w:rsid w:val="48896CC5"/>
    <w:rsid w:val="4B894789"/>
    <w:rsid w:val="4E4E5F9E"/>
    <w:rsid w:val="51CD62BA"/>
    <w:rsid w:val="521A7EE5"/>
    <w:rsid w:val="52412956"/>
    <w:rsid w:val="549355DB"/>
    <w:rsid w:val="578803BD"/>
    <w:rsid w:val="597B102D"/>
    <w:rsid w:val="59E60B12"/>
    <w:rsid w:val="605327B6"/>
    <w:rsid w:val="628D757B"/>
    <w:rsid w:val="70251375"/>
    <w:rsid w:val="71D05B54"/>
    <w:rsid w:val="721E1DAB"/>
    <w:rsid w:val="73CE34C4"/>
    <w:rsid w:val="7C8A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1"/>
    <w:qFormat/>
    <w:uiPriority w:val="9"/>
    <w:pPr>
      <w:keepNext/>
      <w:keepLines/>
      <w:adjustRightInd w:val="0"/>
      <w:snapToGrid w:val="0"/>
      <w:spacing w:line="560" w:lineRule="exact"/>
      <w:jc w:val="center"/>
      <w:outlineLvl w:val="0"/>
    </w:pPr>
    <w:rPr>
      <w:rFonts w:eastAsia="方正小标宋简体" w:asciiTheme="minorHAnsi" w:hAnsiTheme="minorHAnsi" w:cstheme="minorBidi"/>
      <w:bCs/>
      <w:kern w:val="44"/>
      <w:sz w:val="44"/>
      <w:szCs w:val="44"/>
    </w:rPr>
  </w:style>
  <w:style w:type="paragraph" w:styleId="3">
    <w:name w:val="heading 2"/>
    <w:basedOn w:val="1"/>
    <w:next w:val="1"/>
    <w:link w:val="17"/>
    <w:unhideWhenUsed/>
    <w:qFormat/>
    <w:uiPriority w:val="9"/>
    <w:pPr>
      <w:keepNext/>
      <w:keepLines/>
      <w:adjustRightInd w:val="0"/>
      <w:snapToGrid w:val="0"/>
      <w:spacing w:line="560" w:lineRule="exact"/>
      <w:ind w:firstLine="200" w:firstLineChars="200"/>
      <w:outlineLvl w:val="1"/>
    </w:pPr>
    <w:rPr>
      <w:rFonts w:eastAsia="黑体" w:asciiTheme="majorHAnsi" w:hAnsiTheme="majorHAnsi" w:cstheme="majorBidi"/>
      <w:bCs/>
      <w:szCs w:val="32"/>
    </w:rPr>
  </w:style>
  <w:style w:type="paragraph" w:styleId="4">
    <w:name w:val="heading 3"/>
    <w:basedOn w:val="1"/>
    <w:next w:val="1"/>
    <w:link w:val="19"/>
    <w:unhideWhenUsed/>
    <w:qFormat/>
    <w:uiPriority w:val="9"/>
    <w:pPr>
      <w:keepNext/>
      <w:keepLines/>
      <w:adjustRightInd w:val="0"/>
      <w:snapToGrid w:val="0"/>
      <w:spacing w:line="560" w:lineRule="exact"/>
      <w:ind w:firstLine="200" w:firstLineChars="200"/>
      <w:outlineLvl w:val="2"/>
    </w:pPr>
    <w:rPr>
      <w:rFonts w:eastAsia="楷体_GB2312" w:asciiTheme="minorHAnsi" w:hAnsiTheme="minorHAnsi" w:cstheme="minorBidi"/>
      <w:bCs/>
      <w:szCs w:val="32"/>
    </w:rPr>
  </w:style>
  <w:style w:type="paragraph" w:styleId="5">
    <w:name w:val="heading 4"/>
    <w:basedOn w:val="1"/>
    <w:next w:val="1"/>
    <w:link w:val="20"/>
    <w:unhideWhenUsed/>
    <w:qFormat/>
    <w:uiPriority w:val="9"/>
    <w:pPr>
      <w:keepNext/>
      <w:keepLines/>
      <w:adjustRightInd w:val="0"/>
      <w:snapToGrid w:val="0"/>
      <w:spacing w:line="560" w:lineRule="exact"/>
      <w:ind w:firstLine="200" w:firstLineChars="200"/>
      <w:outlineLvl w:val="3"/>
    </w:pPr>
    <w:rPr>
      <w:rFonts w:asciiTheme="majorHAnsi" w:hAnsiTheme="majorHAnsi"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22"/>
    <w:qFormat/>
    <w:uiPriority w:val="11"/>
    <w:pPr>
      <w:adjustRightInd w:val="0"/>
      <w:snapToGrid w:val="0"/>
      <w:spacing w:line="560" w:lineRule="exact"/>
      <w:jc w:val="center"/>
      <w:outlineLvl w:val="1"/>
    </w:pPr>
    <w:rPr>
      <w:rFonts w:eastAsia="楷体_GB2312" w:asciiTheme="majorHAnsi" w:hAnsiTheme="majorHAnsi" w:cstheme="majorBidi"/>
      <w:bCs/>
      <w:kern w:val="28"/>
      <w:szCs w:val="32"/>
    </w:rPr>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rPr>
  </w:style>
  <w:style w:type="character" w:customStyle="1" w:styleId="17">
    <w:name w:val="标题 2 Char"/>
    <w:basedOn w:val="15"/>
    <w:link w:val="3"/>
    <w:qFormat/>
    <w:uiPriority w:val="9"/>
    <w:rPr>
      <w:rFonts w:eastAsia="黑体" w:asciiTheme="majorHAnsi" w:hAnsiTheme="majorHAnsi" w:cstheme="majorBidi"/>
      <w:bCs/>
      <w:sz w:val="32"/>
      <w:szCs w:val="32"/>
    </w:rPr>
  </w:style>
  <w:style w:type="paragraph" w:styleId="18">
    <w:name w:val="No Spacing"/>
    <w:qFormat/>
    <w:uiPriority w:val="1"/>
    <w:pPr>
      <w:widowControl w:val="0"/>
      <w:adjustRightInd w:val="0"/>
      <w:snapToGrid w:val="0"/>
      <w:spacing w:line="560" w:lineRule="exact"/>
    </w:pPr>
    <w:rPr>
      <w:rFonts w:eastAsia="仿宋_GB2312" w:asciiTheme="minorHAnsi" w:hAnsiTheme="minorHAnsi" w:cstheme="minorBidi"/>
      <w:kern w:val="2"/>
      <w:sz w:val="32"/>
      <w:szCs w:val="22"/>
      <w:lang w:val="en-US" w:eastAsia="zh-CN" w:bidi="ar-SA"/>
    </w:rPr>
  </w:style>
  <w:style w:type="character" w:customStyle="1" w:styleId="19">
    <w:name w:val="标题 3 Char"/>
    <w:basedOn w:val="15"/>
    <w:link w:val="4"/>
    <w:qFormat/>
    <w:uiPriority w:val="9"/>
    <w:rPr>
      <w:rFonts w:eastAsia="楷体_GB2312"/>
      <w:bCs/>
      <w:sz w:val="32"/>
      <w:szCs w:val="32"/>
    </w:rPr>
  </w:style>
  <w:style w:type="character" w:customStyle="1" w:styleId="20">
    <w:name w:val="标题 4 Char"/>
    <w:basedOn w:val="15"/>
    <w:link w:val="5"/>
    <w:qFormat/>
    <w:uiPriority w:val="9"/>
    <w:rPr>
      <w:rFonts w:eastAsia="仿宋_GB2312" w:asciiTheme="majorHAnsi" w:hAnsiTheme="majorHAnsi" w:cstheme="majorBidi"/>
      <w:b/>
      <w:bCs/>
      <w:sz w:val="32"/>
      <w:szCs w:val="28"/>
    </w:rPr>
  </w:style>
  <w:style w:type="character" w:customStyle="1" w:styleId="21">
    <w:name w:val="标题 1 Char"/>
    <w:basedOn w:val="15"/>
    <w:link w:val="2"/>
    <w:qFormat/>
    <w:uiPriority w:val="9"/>
    <w:rPr>
      <w:rFonts w:eastAsia="方正小标宋简体"/>
      <w:bCs/>
      <w:kern w:val="44"/>
      <w:sz w:val="44"/>
      <w:szCs w:val="44"/>
    </w:rPr>
  </w:style>
  <w:style w:type="character" w:customStyle="1" w:styleId="22">
    <w:name w:val="副标题 Char"/>
    <w:basedOn w:val="15"/>
    <w:link w:val="11"/>
    <w:qFormat/>
    <w:uiPriority w:val="11"/>
    <w:rPr>
      <w:rFonts w:eastAsia="楷体_GB2312" w:asciiTheme="majorHAnsi" w:hAnsiTheme="majorHAnsi" w:cstheme="majorBidi"/>
      <w:bCs/>
      <w:kern w:val="28"/>
      <w:sz w:val="32"/>
      <w:szCs w:val="32"/>
    </w:rPr>
  </w:style>
  <w:style w:type="paragraph" w:styleId="23">
    <w:name w:val="List Paragraph"/>
    <w:basedOn w:val="1"/>
    <w:qFormat/>
    <w:uiPriority w:val="34"/>
    <w:pPr>
      <w:adjustRightInd w:val="0"/>
      <w:snapToGrid w:val="0"/>
    </w:pPr>
    <w:rPr>
      <w:rFonts w:eastAsia="宋体" w:asciiTheme="minorHAnsi" w:hAnsiTheme="minorHAnsi" w:cstheme="minorBidi"/>
      <w:sz w:val="24"/>
      <w:szCs w:val="22"/>
    </w:rPr>
  </w:style>
  <w:style w:type="paragraph" w:customStyle="1" w:styleId="24">
    <w:name w:val="落款"/>
    <w:basedOn w:val="1"/>
    <w:qFormat/>
    <w:uiPriority w:val="0"/>
    <w:pPr>
      <w:adjustRightInd w:val="0"/>
      <w:snapToGrid w:val="0"/>
      <w:spacing w:line="560" w:lineRule="exact"/>
      <w:ind w:right="400" w:rightChars="400"/>
      <w:jc w:val="right"/>
    </w:pPr>
    <w:rPr>
      <w:rFonts w:ascii="仿宋_GB2312" w:hAnsiTheme="minorHAnsi" w:cstheme="minorBidi"/>
      <w:szCs w:val="22"/>
    </w:rPr>
  </w:style>
  <w:style w:type="character" w:customStyle="1" w:styleId="25">
    <w:name w:val="页眉 Char"/>
    <w:basedOn w:val="15"/>
    <w:link w:val="9"/>
    <w:qFormat/>
    <w:uiPriority w:val="99"/>
    <w:rPr>
      <w:rFonts w:ascii="Times New Roman" w:hAnsi="Times New Roman" w:eastAsia="仿宋_GB2312" w:cs="Times New Roman"/>
      <w:sz w:val="18"/>
      <w:szCs w:val="18"/>
    </w:rPr>
  </w:style>
  <w:style w:type="character" w:customStyle="1" w:styleId="26">
    <w:name w:val="页脚 Char"/>
    <w:basedOn w:val="15"/>
    <w:link w:val="8"/>
    <w:qFormat/>
    <w:uiPriority w:val="99"/>
    <w:rPr>
      <w:rFonts w:ascii="Times New Roman" w:hAnsi="Times New Roman" w:eastAsia="仿宋_GB2312" w:cs="Times New Roman"/>
      <w:sz w:val="18"/>
      <w:szCs w:val="18"/>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8">
    <w:name w:val="TOC Heading"/>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F6DA1-F92B-4A0D-8178-947307E31B80}">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24</Pages>
  <Words>1577</Words>
  <Characters>8993</Characters>
  <Lines>74</Lines>
  <Paragraphs>21</Paragraphs>
  <TotalTime>0</TotalTime>
  <ScaleCrop>false</ScaleCrop>
  <LinksUpToDate>false</LinksUpToDate>
  <CharactersWithSpaces>10549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2019-07-15T03:45:00Z</dcterms:created>
  <dc:creator>刘丹</dc:creator>
  <cp:lastModifiedBy>吕锂湘</cp:lastModifiedBy>
  <cp:lastPrinted>2020-02-18T02:30:00Z</cp:lastPrinted>
  <dcterms:modified xsi:type="dcterms:W3CDTF">2021-06-07T08:49:09Z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