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华文宋体" w:hAnsi="华文宋体" w:eastAsia="华文宋体" w:cs="华文宋体"/>
          <w:color w:val="auto"/>
          <w:sz w:val="44"/>
          <w:szCs w:val="44"/>
        </w:rPr>
      </w:pPr>
    </w:p>
    <w:p>
      <w:pPr>
        <w:pStyle w:val="9"/>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eastAsia="楷体_GB2312"/>
          <w:color w:val="auto"/>
          <w:lang w:eastAsia="zh-CN"/>
        </w:rPr>
      </w:pPr>
      <w:r>
        <w:rPr>
          <w:rFonts w:hint="eastAsia" w:ascii="华文宋体" w:hAnsi="华文宋体" w:eastAsia="华文宋体" w:cs="华文宋体"/>
          <w:color w:val="auto"/>
          <w:sz w:val="44"/>
          <w:szCs w:val="44"/>
        </w:rPr>
        <w:t>宝安区</w:t>
      </w:r>
      <w:r>
        <w:rPr>
          <w:rFonts w:hint="eastAsia" w:ascii="华文宋体" w:hAnsi="华文宋体" w:eastAsia="华文宋体" w:cs="华文宋体"/>
          <w:b/>
          <w:bCs/>
          <w:sz w:val="44"/>
          <w:szCs w:val="44"/>
          <w:highlight w:val="none"/>
          <w:lang w:bidi="ar"/>
        </w:rPr>
        <w:t>工业互联网平台</w:t>
      </w:r>
      <w:r>
        <w:rPr>
          <w:rFonts w:hint="eastAsia" w:ascii="华文宋体" w:hAnsi="华文宋体" w:eastAsia="华文宋体" w:cs="华文宋体"/>
          <w:b/>
          <w:bCs/>
          <w:sz w:val="44"/>
          <w:szCs w:val="44"/>
          <w:highlight w:val="none"/>
          <w:lang w:eastAsia="zh-CN" w:bidi="ar"/>
        </w:rPr>
        <w:t>应用</w:t>
      </w:r>
      <w:r>
        <w:rPr>
          <w:rFonts w:hint="eastAsia" w:ascii="华文宋体" w:hAnsi="华文宋体" w:eastAsia="华文宋体" w:cs="华文宋体"/>
          <w:b/>
          <w:bCs/>
          <w:sz w:val="44"/>
          <w:szCs w:val="44"/>
          <w:highlight w:val="none"/>
          <w:lang w:bidi="ar"/>
        </w:rPr>
        <w:t>创新推广中心</w:t>
      </w:r>
      <w:r>
        <w:rPr>
          <w:rFonts w:hint="default" w:ascii="华文宋体" w:hAnsi="华文宋体" w:eastAsia="华文宋体" w:cs="华文宋体"/>
          <w:b/>
          <w:bCs/>
          <w:sz w:val="44"/>
          <w:szCs w:val="44"/>
          <w:highlight w:val="none"/>
          <w:lang w:bidi="ar"/>
        </w:rPr>
        <w:t>奖励</w:t>
      </w:r>
      <w:r>
        <w:rPr>
          <w:rFonts w:hint="eastAsia" w:ascii="华文宋体" w:hAnsi="华文宋体" w:eastAsia="华文宋体" w:cs="华文宋体"/>
          <w:b/>
          <w:bCs/>
          <w:sz w:val="44"/>
          <w:szCs w:val="44"/>
          <w:highlight w:val="none"/>
          <w:lang w:eastAsia="zh-CN" w:bidi="ar"/>
        </w:rPr>
        <w:t>项目申报指南</w:t>
      </w:r>
    </w:p>
    <w:p>
      <w:pPr>
        <w:pageBreakBefore w:val="0"/>
        <w:widowControl w:val="0"/>
        <w:kinsoku/>
        <w:wordWrap/>
        <w:overflowPunct/>
        <w:topLinePunct w:val="0"/>
        <w:autoSpaceDE/>
        <w:autoSpaceDN/>
        <w:bidi w:val="0"/>
        <w:adjustRightInd/>
        <w:snapToGrid/>
        <w:spacing w:line="580" w:lineRule="exact"/>
        <w:ind w:firstLine="640"/>
        <w:textAlignment w:val="auto"/>
        <w:rPr>
          <w:color w:val="auto"/>
        </w:rPr>
      </w:pPr>
    </w:p>
    <w:p>
      <w:pPr>
        <w:pStyle w:val="5"/>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eastAsia="黑体"/>
          <w:color w:val="auto"/>
          <w:lang w:val="en" w:eastAsia="zh-CN"/>
        </w:rPr>
      </w:pPr>
      <w:r>
        <w:rPr>
          <w:rFonts w:hint="eastAsia"/>
          <w:color w:val="auto"/>
        </w:rPr>
        <w:t> 一、申报</w:t>
      </w:r>
      <w:r>
        <w:rPr>
          <w:rFonts w:hint="eastAsia"/>
          <w:color w:val="auto"/>
          <w:lang w:eastAsia="zh-CN"/>
        </w:rPr>
        <w:t>主体</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申报主体应为</w:t>
      </w:r>
      <w:r>
        <w:rPr>
          <w:rFonts w:hint="eastAsia" w:hAnsi="仿宋_GB2312" w:cs="仿宋_GB2312"/>
          <w:color w:val="000000" w:themeColor="text1"/>
          <w:kern w:val="0"/>
          <w:sz w:val="32"/>
          <w:szCs w:val="32"/>
          <w:highlight w:val="none"/>
          <w:shd w:val="clear" w:color="auto" w:fill="FFFFFF"/>
          <w:lang w:eastAsia="zh-CN"/>
          <w14:textFill>
            <w14:solidFill>
              <w14:schemeClr w14:val="tx1"/>
            </w14:solidFill>
          </w14:textFill>
        </w:rPr>
        <w:t>：</w:t>
      </w:r>
      <w:r>
        <w:rPr>
          <w:rFonts w:hint="eastAsia" w:hAnsi="仿宋_GB2312" w:cs="仿宋_GB2312"/>
          <w:sz w:val="32"/>
          <w:szCs w:val="32"/>
          <w:highlight w:val="none"/>
          <w:lang w:eastAsia="zh-CN"/>
        </w:rPr>
        <w:t>在宝安区注册的具有独立法人资格的企业、事业单位或社会组织；区外注册的具有独立法人资格的，并与区政府或区政府部门有合作协议的事业单位及社会组织。</w:t>
      </w:r>
    </w:p>
    <w:p>
      <w:pPr>
        <w:pStyle w:val="2"/>
        <w:keepNext w:val="0"/>
        <w:keepLines w:val="0"/>
        <w:pageBreakBefore w:val="0"/>
        <w:kinsoku/>
        <w:wordWrap/>
        <w:overflowPunct/>
        <w:topLinePunct w:val="0"/>
        <w:autoSpaceDE/>
        <w:autoSpaceDN/>
        <w:bidi w:val="0"/>
        <w:adjustRightInd w:val="0"/>
        <w:snapToGrid w:val="0"/>
        <w:spacing w:after="0" w:line="58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shd w:val="clear" w:color="auto" w:fill="FFFFFF"/>
        </w:rPr>
        <w:t>（二）</w:t>
      </w:r>
      <w:r>
        <w:rPr>
          <w:rFonts w:hint="eastAsia" w:ascii="仿宋_GB2312" w:hAnsi="仿宋_GB2312" w:eastAsia="仿宋_GB2312" w:cs="仿宋_GB2312"/>
          <w:color w:val="auto"/>
          <w:kern w:val="0"/>
          <w:sz w:val="32"/>
          <w:szCs w:val="32"/>
          <w:highlight w:val="none"/>
          <w:shd w:val="clear" w:color="auto" w:fill="FFFFFF"/>
          <w:lang w:eastAsia="zh-CN"/>
        </w:rPr>
        <w:t>申报主体</w:t>
      </w:r>
      <w:r>
        <w:rPr>
          <w:rFonts w:hint="eastAsia" w:ascii="仿宋_GB2312" w:hAnsi="仿宋_GB2312" w:eastAsia="仿宋_GB2312" w:cs="仿宋_GB2312"/>
          <w:color w:val="auto"/>
          <w:sz w:val="32"/>
          <w:szCs w:val="32"/>
          <w:highlight w:val="none"/>
        </w:rPr>
        <w:t>属于企业的，其税务征管及统计关系应在宝安区；属事业单位的，应有事业单位管理部门批准证书；属于社会组织的，应依法在</w:t>
      </w:r>
      <w:r>
        <w:rPr>
          <w:rFonts w:hint="eastAsia" w:ascii="仿宋_GB2312" w:hAnsi="仿宋_GB2312" w:eastAsia="仿宋_GB2312" w:cs="仿宋_GB2312"/>
          <w:color w:val="auto"/>
          <w:sz w:val="32"/>
          <w:szCs w:val="32"/>
          <w:highlight w:val="none"/>
          <w:shd w:val="clear" w:color="auto" w:fill="FFFFFF"/>
        </w:rPr>
        <w:t>各级民政部门登记成立</w:t>
      </w:r>
      <w:r>
        <w:rPr>
          <w:rFonts w:hint="eastAsia" w:ascii="仿宋_GB2312" w:hAnsi="仿宋_GB2312" w:eastAsia="仿宋_GB2312" w:cs="仿宋_GB2312"/>
          <w:color w:val="auto"/>
          <w:sz w:val="32"/>
          <w:szCs w:val="32"/>
          <w:highlight w:val="none"/>
          <w:shd w:val="clear" w:color="auto" w:fill="FFFFFF"/>
          <w:lang w:eastAsia="zh-CN"/>
        </w:rPr>
        <w:t>；</w:t>
      </w:r>
    </w:p>
    <w:p>
      <w:pPr>
        <w:pStyle w:val="5"/>
        <w:pageBreakBefore w:val="0"/>
        <w:widowControl w:val="0"/>
        <w:kinsoku/>
        <w:wordWrap/>
        <w:overflowPunct/>
        <w:topLinePunct w:val="0"/>
        <w:autoSpaceDE/>
        <w:autoSpaceDN/>
        <w:bidi w:val="0"/>
        <w:adjustRightInd/>
        <w:snapToGrid/>
        <w:spacing w:line="580" w:lineRule="exact"/>
        <w:ind w:firstLine="640"/>
        <w:jc w:val="both"/>
        <w:textAlignment w:val="auto"/>
        <w:rPr>
          <w:color w:val="auto"/>
        </w:rPr>
      </w:pPr>
      <w:r>
        <w:rPr>
          <w:rFonts w:hint="eastAsia"/>
          <w:color w:val="auto"/>
        </w:rPr>
        <w:t>二</w:t>
      </w:r>
      <w:r>
        <w:rPr>
          <w:color w:val="auto"/>
        </w:rPr>
        <w:t>、资助</w:t>
      </w:r>
      <w:r>
        <w:rPr>
          <w:rFonts w:hint="eastAsia"/>
          <w:color w:val="auto"/>
        </w:rPr>
        <w:t>标准</w:t>
      </w:r>
    </w:p>
    <w:p>
      <w:pPr>
        <w:pStyle w:val="3"/>
        <w:spacing w:after="0" w:line="550" w:lineRule="exact"/>
        <w:ind w:left="0" w:leftChars="0" w:firstLine="685"/>
        <w:rPr>
          <w:rFonts w:hint="eastAsia" w:ascii="仿宋_GB2312" w:hAnsi="仿宋_GB2312" w:eastAsia="仿宋_GB2312" w:cs="仿宋_GB2312"/>
          <w:kern w:val="0"/>
          <w:sz w:val="32"/>
          <w:szCs w:val="32"/>
          <w:shd w:val="clear" w:color="FFFFFF" w:fill="FFFFFF"/>
        </w:rPr>
      </w:pPr>
      <w:r>
        <w:rPr>
          <w:rFonts w:hint="eastAsia"/>
          <w:color w:val="auto"/>
          <w:lang w:val="en-US" w:eastAsia="zh-CN"/>
        </w:rPr>
        <w:t>（一）</w:t>
      </w:r>
      <w:r>
        <w:rPr>
          <w:rFonts w:hint="eastAsia" w:ascii="仿宋_GB2312" w:hAnsi="仿宋_GB2312" w:eastAsia="仿宋_GB2312" w:cs="仿宋_GB2312"/>
          <w:kern w:val="0"/>
          <w:sz w:val="32"/>
          <w:szCs w:val="32"/>
          <w:shd w:val="clear" w:color="FFFFFF" w:fill="FFFFFF"/>
        </w:rPr>
        <w:t>对建成模拟产线及具备工业智能、数字孪生、工业增强现实等应用试验验证功能，且提供实物展示及沉浸式体验展示场景的推广中心，在各级财政资助总金额不超过其投资总额50%的前提下，遴选1-2家给予投资额50%、最高1500万元的资助，获得国家部委重点实验室资质的给予优先支持。</w:t>
      </w:r>
    </w:p>
    <w:p>
      <w:pPr>
        <w:pStyle w:val="3"/>
        <w:spacing w:after="0" w:line="550" w:lineRule="exact"/>
        <w:ind w:left="0" w:leftChars="0" w:firstLine="685"/>
        <w:rPr>
          <w:rFonts w:hint="eastAsia" w:ascii="仿宋_GB2312" w:hAnsi="仿宋_GB2312" w:eastAsia="仿宋_GB2312" w:cs="仿宋_GB2312"/>
          <w:kern w:val="0"/>
          <w:sz w:val="32"/>
          <w:szCs w:val="32"/>
          <w:shd w:val="clear" w:color="FFFFFF" w:fill="FFFFFF"/>
        </w:rPr>
      </w:pPr>
      <w:r>
        <w:rPr>
          <w:rFonts w:hint="eastAsia" w:hAnsi="仿宋_GB2312" w:cs="仿宋_GB2312"/>
          <w:kern w:val="0"/>
          <w:sz w:val="32"/>
          <w:szCs w:val="32"/>
          <w:shd w:val="clear" w:color="FFFFFF" w:fill="FFFFFF"/>
          <w:lang w:eastAsia="zh-CN"/>
        </w:rPr>
        <w:t>说明：</w:t>
      </w:r>
      <w:r>
        <w:rPr>
          <w:rFonts w:hint="eastAsia" w:ascii="仿宋_GB2312" w:hAnsi="仿宋_GB2312" w:eastAsia="仿宋_GB2312" w:cs="仿宋_GB2312"/>
          <w:kern w:val="0"/>
          <w:sz w:val="32"/>
          <w:szCs w:val="32"/>
          <w:shd w:val="clear" w:color="FFFFFF" w:fill="FFFFFF"/>
        </w:rPr>
        <w:t>“各级财政资助”是指国家、省、市相关部门对工业互联网平台应用创新推广中心项目认定后给予的资金支持。</w:t>
      </w:r>
    </w:p>
    <w:p>
      <w:pPr>
        <w:pStyle w:val="5"/>
        <w:pageBreakBefore w:val="0"/>
        <w:widowControl w:val="0"/>
        <w:kinsoku/>
        <w:wordWrap/>
        <w:overflowPunct/>
        <w:topLinePunct w:val="0"/>
        <w:autoSpaceDE/>
        <w:autoSpaceDN/>
        <w:bidi w:val="0"/>
        <w:adjustRightInd/>
        <w:snapToGrid/>
        <w:spacing w:line="580" w:lineRule="exact"/>
        <w:ind w:firstLine="640"/>
        <w:jc w:val="both"/>
        <w:textAlignment w:val="auto"/>
        <w:rPr>
          <w:color w:val="auto"/>
        </w:rPr>
      </w:pPr>
      <w:r>
        <w:rPr>
          <w:rFonts w:hint="eastAsia"/>
          <w:color w:val="auto"/>
        </w:rPr>
        <w:t>三</w:t>
      </w:r>
      <w:r>
        <w:rPr>
          <w:color w:val="auto"/>
        </w:rPr>
        <w:t>、</w:t>
      </w:r>
      <w:r>
        <w:rPr>
          <w:rFonts w:hint="eastAsia"/>
          <w:color w:val="auto"/>
        </w:rPr>
        <w:t>申报材料</w:t>
      </w:r>
    </w:p>
    <w:p>
      <w:pPr>
        <w:keepNext w:val="0"/>
        <w:keepLines w:val="0"/>
        <w:pageBreakBefore w:val="0"/>
        <w:kinsoku/>
        <w:wordWrap/>
        <w:overflowPunct/>
        <w:topLinePunct w:val="0"/>
        <w:autoSpaceDE/>
        <w:autoSpaceDN/>
        <w:bidi w:val="0"/>
        <w:adjustRightInd w:val="0"/>
        <w:snapToGrid w:val="0"/>
        <w:spacing w:line="580" w:lineRule="exact"/>
        <w:jc w:val="both"/>
        <w:textAlignment w:val="auto"/>
        <w:outlineLvl w:val="9"/>
        <w:rPr>
          <w:rFonts w:ascii="仿宋_GB2312" w:hAnsi="仿宋_GB2312" w:eastAsia="仿宋_GB2312" w:cs="仿宋_GB2312"/>
          <w:sz w:val="32"/>
          <w:szCs w:val="32"/>
          <w:highlight w:val="none"/>
        </w:rPr>
      </w:pPr>
      <w:r>
        <w:rPr>
          <w:rFonts w:hint="eastAsia" w:hAnsi="仿宋_GB2312" w:cs="仿宋_GB2312"/>
          <w:sz w:val="32"/>
          <w:szCs w:val="32"/>
          <w:highlight w:val="none"/>
          <w:lang w:eastAsia="zh-CN"/>
        </w:rPr>
        <w:t>（一）</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）、事业单位法人证书（</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社会团体法人登记证书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）之一</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hAnsi="仿宋_GB2312" w:cs="仿宋_GB2312"/>
          <w:sz w:val="32"/>
          <w:szCs w:val="32"/>
          <w:highlight w:val="none"/>
          <w:lang w:eastAsia="zh-CN"/>
        </w:rPr>
        <w:t>（二）</w:t>
      </w:r>
      <w:r>
        <w:rPr>
          <w:rFonts w:hint="eastAsia" w:ascii="仿宋_GB2312" w:hAnsi="仿宋_GB2312" w:eastAsia="仿宋_GB2312" w:cs="仿宋_GB2312"/>
          <w:sz w:val="32"/>
          <w:szCs w:val="32"/>
          <w:highlight w:val="none"/>
        </w:rPr>
        <w:t>法定代表人身份证明书，法定代表人身份证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法人授权委托书</w:t>
      </w:r>
      <w:r>
        <w:rPr>
          <w:rFonts w:hint="eastAsia" w:ascii="仿宋_GB2312" w:hAnsi="仿宋_GB2312" w:eastAsia="仿宋_GB2312" w:cs="仿宋_GB2312"/>
          <w:sz w:val="32"/>
          <w:szCs w:val="32"/>
          <w:highlight w:val="none"/>
          <w:lang w:eastAsia="zh-CN"/>
        </w:rPr>
        <w:t>和授权办理人</w:t>
      </w:r>
      <w:r>
        <w:rPr>
          <w:rFonts w:hint="eastAsia" w:ascii="仿宋_GB2312" w:hAnsi="仿宋_GB2312" w:eastAsia="仿宋_GB2312" w:cs="仿宋_GB2312"/>
          <w:sz w:val="32"/>
          <w:szCs w:val="32"/>
          <w:highlight w:val="none"/>
        </w:rPr>
        <w:t>身份证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银行开户证明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区内企业开户行应在宝安区）</w:t>
      </w:r>
      <w:r>
        <w:rPr>
          <w:rFonts w:hint="eastAsia" w:hAnsi="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bidi="ar"/>
        </w:rPr>
      </w:pPr>
      <w:r>
        <w:rPr>
          <w:rFonts w:hint="eastAsia" w:hAnsi="仿宋_GB2312" w:cs="仿宋_GB2312"/>
          <w:color w:val="000000"/>
          <w:kern w:val="0"/>
          <w:sz w:val="32"/>
          <w:szCs w:val="32"/>
          <w:highlight w:val="none"/>
          <w:lang w:eastAsia="zh-CN" w:bidi="ar"/>
        </w:rPr>
        <w:t>（四）</w:t>
      </w:r>
      <w:r>
        <w:rPr>
          <w:rFonts w:hint="eastAsia" w:ascii="仿宋_GB2312" w:hAnsi="仿宋_GB2312" w:eastAsia="仿宋_GB2312" w:cs="仿宋_GB2312"/>
          <w:color w:val="000000"/>
          <w:kern w:val="0"/>
          <w:sz w:val="32"/>
          <w:szCs w:val="32"/>
          <w:highlight w:val="none"/>
          <w:lang w:eastAsia="zh-CN" w:bidi="ar"/>
        </w:rPr>
        <w:t>《工业互联网平台应用创新推广中心奖励项目申报</w:t>
      </w:r>
      <w:r>
        <w:rPr>
          <w:rFonts w:hint="eastAsia" w:ascii="仿宋_GB2312" w:hAnsi="仿宋_GB2312" w:eastAsia="仿宋_GB2312" w:cs="仿宋_GB2312"/>
          <w:color w:val="000000"/>
          <w:kern w:val="0"/>
          <w:sz w:val="32"/>
          <w:szCs w:val="32"/>
          <w:highlight w:val="none"/>
          <w:lang w:bidi="ar"/>
        </w:rPr>
        <w:t>表</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bidi="ar"/>
        </w:rPr>
        <w:t>；</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color w:val="auto"/>
          <w:sz w:val="32"/>
          <w:szCs w:val="32"/>
          <w:lang w:eastAsia="zh-CN"/>
        </w:rPr>
        <w:t>（五）《工业互联网平台应用创新推广中心奖励项目申请报告》</w:t>
      </w:r>
      <w:r>
        <w:rPr>
          <w:rFonts w:hint="eastAsia" w:ascii="CESI仿宋-GB2312" w:hAnsi="CESI仿宋-GB2312" w:eastAsia="CESI仿宋-GB2312" w:cs="CESI仿宋-GB2312"/>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（六）投资证明材料；</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（七）重点实验室资质证明材料；</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（八）若为区外单位，与区政府或区政府部门合作协议证明；</w:t>
      </w:r>
    </w:p>
    <w:p>
      <w:pPr>
        <w:pStyle w:val="5"/>
        <w:pageBreakBefore w:val="0"/>
        <w:widowControl w:val="0"/>
        <w:kinsoku/>
        <w:wordWrap/>
        <w:overflowPunct/>
        <w:topLinePunct w:val="0"/>
        <w:autoSpaceDE/>
        <w:autoSpaceDN/>
        <w:bidi w:val="0"/>
        <w:adjustRightInd/>
        <w:snapToGrid/>
        <w:spacing w:line="580" w:lineRule="exact"/>
        <w:ind w:firstLine="640"/>
        <w:jc w:val="both"/>
        <w:textAlignment w:val="auto"/>
        <w:rPr>
          <w:color w:val="auto"/>
        </w:rPr>
      </w:pPr>
      <w:r>
        <w:rPr>
          <w:rFonts w:hint="eastAsia"/>
          <w:color w:val="auto"/>
        </w:rPr>
        <w:t>四</w:t>
      </w:r>
      <w:r>
        <w:rPr>
          <w:color w:val="auto"/>
        </w:rPr>
        <w:t>、</w:t>
      </w:r>
      <w:r>
        <w:rPr>
          <w:rFonts w:hint="eastAsia"/>
          <w:color w:val="auto"/>
        </w:rPr>
        <w:t>申报流程</w:t>
      </w:r>
    </w:p>
    <w:p>
      <w:pPr>
        <w:pageBreakBefore w:val="0"/>
        <w:widowControl w:val="0"/>
        <w:kinsoku/>
        <w:wordWrap/>
        <w:overflowPunct/>
        <w:topLinePunct w:val="0"/>
        <w:autoSpaceDE/>
        <w:autoSpaceDN/>
        <w:bidi w:val="0"/>
        <w:adjustRightInd/>
        <w:snapToGrid/>
        <w:spacing w:line="580" w:lineRule="exact"/>
        <w:ind w:firstLine="640"/>
        <w:textAlignment w:val="auto"/>
        <w:rPr>
          <w:color w:val="auto"/>
          <w:szCs w:val="32"/>
          <w:highlight w:val="none"/>
        </w:rPr>
      </w:pPr>
      <w:r>
        <w:rPr>
          <w:rFonts w:hint="eastAsia"/>
          <w:color w:val="auto"/>
          <w:szCs w:val="32"/>
          <w:highlight w:val="none"/>
        </w:rPr>
        <w:t>本批次项目申报采取网上申报方式，申请人登录系统并填报项目申报所需材料。</w:t>
      </w:r>
      <w:r>
        <w:rPr>
          <w:rFonts w:hint="eastAsia"/>
          <w:b/>
          <w:bCs/>
          <w:color w:val="auto"/>
          <w:szCs w:val="32"/>
          <w:highlight w:val="none"/>
        </w:rPr>
        <w:t>网上申报预审通过的企业还需提交纸质材料，</w:t>
      </w:r>
      <w:r>
        <w:rPr>
          <w:rFonts w:hint="eastAsia"/>
          <w:color w:val="auto"/>
          <w:szCs w:val="32"/>
          <w:highlight w:val="none"/>
        </w:rPr>
        <w:t>由</w:t>
      </w:r>
      <w:r>
        <w:rPr>
          <w:rFonts w:hint="eastAsia"/>
          <w:color w:val="auto"/>
          <w:szCs w:val="32"/>
          <w:highlight w:val="none"/>
          <w:lang w:eastAsia="zh-CN"/>
        </w:rPr>
        <w:t>各</w:t>
      </w:r>
      <w:r>
        <w:rPr>
          <w:rFonts w:hint="eastAsia"/>
          <w:color w:val="auto"/>
          <w:szCs w:val="32"/>
          <w:highlight w:val="none"/>
        </w:rPr>
        <w:t>街道政务服务大厅综合窗口接收纸质材料并做形式审查。</w:t>
      </w:r>
    </w:p>
    <w:p>
      <w:pPr>
        <w:pageBreakBefore w:val="0"/>
        <w:widowControl w:val="0"/>
        <w:numPr>
          <w:ilvl w:val="0"/>
          <w:numId w:val="1"/>
        </w:numPr>
        <w:kinsoku/>
        <w:wordWrap/>
        <w:overflowPunct/>
        <w:topLinePunct w:val="0"/>
        <w:autoSpaceDE/>
        <w:autoSpaceDN/>
        <w:bidi w:val="0"/>
        <w:adjustRightInd/>
        <w:snapToGrid/>
        <w:spacing w:line="580" w:lineRule="exact"/>
        <w:ind w:firstLine="643"/>
        <w:textAlignment w:val="auto"/>
        <w:rPr>
          <w:rFonts w:ascii="楷体" w:hAnsi="楷体" w:eastAsia="楷体" w:cs="楷体"/>
          <w:b/>
          <w:bCs/>
          <w:color w:val="auto"/>
        </w:rPr>
      </w:pPr>
      <w:r>
        <w:rPr>
          <w:rFonts w:hint="eastAsia" w:ascii="楷体" w:hAnsi="楷体" w:eastAsia="楷体" w:cs="楷体"/>
          <w:b/>
          <w:bCs/>
          <w:color w:val="auto"/>
        </w:rPr>
        <w:t>网上申报时间：</w:t>
      </w:r>
    </w:p>
    <w:p>
      <w:pPr>
        <w:pageBreakBefore w:val="0"/>
        <w:widowControl w:val="0"/>
        <w:kinsoku/>
        <w:wordWrap/>
        <w:overflowPunct/>
        <w:topLinePunct w:val="0"/>
        <w:autoSpaceDE/>
        <w:autoSpaceDN/>
        <w:bidi w:val="0"/>
        <w:adjustRightInd/>
        <w:snapToGrid/>
        <w:spacing w:line="580" w:lineRule="exact"/>
        <w:ind w:firstLine="640"/>
        <w:textAlignment w:val="auto"/>
        <w:rPr>
          <w:color w:val="auto"/>
        </w:rPr>
      </w:pPr>
      <w:r>
        <w:rPr>
          <w:rFonts w:hint="eastAsia"/>
          <w:color w:val="auto"/>
        </w:rPr>
        <w:t>202</w:t>
      </w:r>
      <w:r>
        <w:rPr>
          <w:rFonts w:hint="eastAsia"/>
          <w:color w:val="auto"/>
          <w:lang w:val="en-US" w:eastAsia="zh-CN"/>
        </w:rPr>
        <w:t>2</w:t>
      </w:r>
      <w:r>
        <w:rPr>
          <w:rFonts w:hint="eastAsia"/>
          <w:color w:val="auto"/>
        </w:rPr>
        <w:t>年</w:t>
      </w:r>
      <w:r>
        <w:rPr>
          <w:rFonts w:hint="default"/>
          <w:color w:val="auto"/>
          <w:lang w:eastAsia="zh-CN"/>
        </w:rPr>
        <w:t>2</w:t>
      </w:r>
      <w:r>
        <w:rPr>
          <w:rFonts w:hint="eastAsia"/>
          <w:color w:val="auto"/>
        </w:rPr>
        <w:t>月</w:t>
      </w:r>
      <w:r>
        <w:rPr>
          <w:rFonts w:hint="default"/>
          <w:color w:val="auto"/>
        </w:rPr>
        <w:t>22</w:t>
      </w:r>
      <w:r>
        <w:rPr>
          <w:rFonts w:hint="eastAsia"/>
          <w:color w:val="auto"/>
        </w:rPr>
        <w:t>日-202</w:t>
      </w:r>
      <w:r>
        <w:rPr>
          <w:rFonts w:hint="eastAsia"/>
          <w:color w:val="auto"/>
          <w:lang w:val="en-US" w:eastAsia="zh-CN"/>
        </w:rPr>
        <w:t>2</w:t>
      </w:r>
      <w:r>
        <w:rPr>
          <w:rFonts w:hint="eastAsia"/>
          <w:color w:val="auto"/>
        </w:rPr>
        <w:t>年</w:t>
      </w:r>
      <w:r>
        <w:rPr>
          <w:rFonts w:hint="default"/>
          <w:color w:val="auto"/>
        </w:rPr>
        <w:t>3</w:t>
      </w:r>
      <w:r>
        <w:rPr>
          <w:rFonts w:hint="eastAsia"/>
          <w:color w:val="auto"/>
        </w:rPr>
        <w:t>月</w:t>
      </w:r>
      <w:r>
        <w:rPr>
          <w:rFonts w:hint="default"/>
          <w:color w:val="auto"/>
        </w:rPr>
        <w:t>14</w:t>
      </w:r>
      <w:r>
        <w:rPr>
          <w:rFonts w:hint="eastAsia"/>
          <w:color w:val="auto"/>
        </w:rPr>
        <w:t>日。</w:t>
      </w:r>
    </w:p>
    <w:p>
      <w:pPr>
        <w:pageBreakBefore w:val="0"/>
        <w:widowControl w:val="0"/>
        <w:numPr>
          <w:ilvl w:val="0"/>
          <w:numId w:val="1"/>
        </w:numPr>
        <w:kinsoku/>
        <w:wordWrap/>
        <w:overflowPunct/>
        <w:topLinePunct w:val="0"/>
        <w:autoSpaceDE/>
        <w:autoSpaceDN/>
        <w:bidi w:val="0"/>
        <w:adjustRightInd/>
        <w:snapToGrid/>
        <w:spacing w:line="580" w:lineRule="exact"/>
        <w:ind w:firstLine="643"/>
        <w:textAlignment w:val="auto"/>
        <w:rPr>
          <w:rFonts w:ascii="楷体" w:hAnsi="楷体" w:eastAsia="楷体" w:cs="楷体"/>
          <w:b/>
          <w:bCs/>
          <w:color w:val="auto"/>
        </w:rPr>
      </w:pPr>
      <w:r>
        <w:rPr>
          <w:rFonts w:hint="eastAsia" w:ascii="楷体" w:hAnsi="楷体" w:eastAsia="楷体" w:cs="楷体"/>
          <w:b/>
          <w:bCs/>
          <w:color w:val="auto"/>
        </w:rPr>
        <w:t>申报网址：</w:t>
      </w:r>
    </w:p>
    <w:p>
      <w:pPr>
        <w:pageBreakBefore w:val="0"/>
        <w:kinsoku/>
        <w:wordWrap/>
        <w:overflowPunct/>
        <w:topLinePunct w:val="0"/>
        <w:autoSpaceDE/>
        <w:autoSpaceDN/>
        <w:bidi w:val="0"/>
        <w:spacing w:line="580" w:lineRule="exact"/>
        <w:textAlignment w:val="auto"/>
      </w:pPr>
      <w:r>
        <w:rPr>
          <w:rFonts w:hint="eastAsia"/>
        </w:rPr>
        <w:t>https://qqzq.baoan.gov.cn/#/new-nav/policy</w:t>
      </w:r>
    </w:p>
    <w:p>
      <w:pPr>
        <w:pageBreakBefore w:val="0"/>
        <w:widowControl w:val="0"/>
        <w:numPr>
          <w:ilvl w:val="0"/>
          <w:numId w:val="1"/>
        </w:numPr>
        <w:kinsoku/>
        <w:wordWrap/>
        <w:overflowPunct/>
        <w:topLinePunct w:val="0"/>
        <w:autoSpaceDE/>
        <w:autoSpaceDN/>
        <w:bidi w:val="0"/>
        <w:adjustRightInd/>
        <w:snapToGrid/>
        <w:spacing w:line="580" w:lineRule="exact"/>
        <w:ind w:firstLine="643"/>
        <w:textAlignment w:val="auto"/>
        <w:rPr>
          <w:rFonts w:ascii="楷体" w:hAnsi="楷体" w:eastAsia="楷体" w:cs="楷体"/>
          <w:b/>
          <w:bCs/>
          <w:color w:val="auto"/>
        </w:rPr>
      </w:pPr>
      <w:r>
        <w:rPr>
          <w:rFonts w:hint="eastAsia" w:ascii="楷体" w:hAnsi="楷体" w:eastAsia="楷体" w:cs="楷体"/>
          <w:b/>
          <w:bCs/>
          <w:color w:val="auto"/>
        </w:rPr>
        <w:t>纸质材料提交时间：</w:t>
      </w:r>
    </w:p>
    <w:p>
      <w:pPr>
        <w:pageBreakBefore w:val="0"/>
        <w:widowControl w:val="0"/>
        <w:kinsoku/>
        <w:wordWrap/>
        <w:overflowPunct/>
        <w:topLinePunct w:val="0"/>
        <w:autoSpaceDE/>
        <w:autoSpaceDN/>
        <w:bidi w:val="0"/>
        <w:adjustRightInd/>
        <w:snapToGrid/>
        <w:spacing w:line="580" w:lineRule="exact"/>
        <w:ind w:firstLine="640"/>
        <w:textAlignment w:val="auto"/>
        <w:rPr>
          <w:color w:val="auto"/>
        </w:rPr>
      </w:pPr>
      <w:r>
        <w:rPr>
          <w:rFonts w:hint="eastAsia"/>
          <w:color w:val="auto"/>
          <w:szCs w:val="32"/>
        </w:rPr>
        <w:t>202</w:t>
      </w:r>
      <w:r>
        <w:rPr>
          <w:rFonts w:hint="eastAsia"/>
          <w:color w:val="auto"/>
          <w:szCs w:val="32"/>
          <w:lang w:val="en-US" w:eastAsia="zh-CN"/>
        </w:rPr>
        <w:t>2</w:t>
      </w:r>
      <w:r>
        <w:rPr>
          <w:rFonts w:hint="eastAsia"/>
          <w:color w:val="auto"/>
          <w:szCs w:val="32"/>
        </w:rPr>
        <w:t>年</w:t>
      </w:r>
      <w:r>
        <w:rPr>
          <w:rFonts w:hint="default"/>
          <w:color w:val="auto"/>
          <w:szCs w:val="32"/>
          <w:lang w:eastAsia="zh-CN"/>
        </w:rPr>
        <w:t>2</w:t>
      </w:r>
      <w:r>
        <w:rPr>
          <w:rFonts w:hint="eastAsia"/>
          <w:color w:val="auto"/>
          <w:szCs w:val="32"/>
        </w:rPr>
        <w:t>月</w:t>
      </w:r>
      <w:r>
        <w:rPr>
          <w:rFonts w:hint="default"/>
          <w:color w:val="auto"/>
          <w:szCs w:val="32"/>
        </w:rPr>
        <w:t>22</w:t>
      </w:r>
      <w:r>
        <w:rPr>
          <w:rFonts w:hint="eastAsia"/>
          <w:color w:val="auto"/>
          <w:szCs w:val="32"/>
        </w:rPr>
        <w:t>日-202</w:t>
      </w:r>
      <w:r>
        <w:rPr>
          <w:rFonts w:hint="eastAsia"/>
          <w:color w:val="auto"/>
          <w:szCs w:val="32"/>
          <w:lang w:val="en-US" w:eastAsia="zh-CN"/>
        </w:rPr>
        <w:t>2</w:t>
      </w:r>
      <w:r>
        <w:rPr>
          <w:rFonts w:hint="eastAsia"/>
          <w:color w:val="auto"/>
          <w:szCs w:val="32"/>
        </w:rPr>
        <w:t>年</w:t>
      </w:r>
      <w:r>
        <w:rPr>
          <w:rFonts w:hint="default"/>
          <w:color w:val="auto"/>
          <w:szCs w:val="32"/>
        </w:rPr>
        <w:t>3</w:t>
      </w:r>
      <w:r>
        <w:rPr>
          <w:rFonts w:hint="eastAsia"/>
          <w:color w:val="auto"/>
          <w:szCs w:val="32"/>
        </w:rPr>
        <w:t>月</w:t>
      </w:r>
      <w:r>
        <w:rPr>
          <w:rFonts w:hint="default"/>
          <w:color w:val="auto"/>
          <w:szCs w:val="32"/>
        </w:rPr>
        <w:t>16</w:t>
      </w:r>
      <w:r>
        <w:rPr>
          <w:rFonts w:hint="eastAsia"/>
          <w:color w:val="auto"/>
          <w:szCs w:val="32"/>
        </w:rPr>
        <w:t>日。</w:t>
      </w:r>
      <w:bookmarkStart w:id="0" w:name="_GoBack"/>
      <w:bookmarkEnd w:id="0"/>
    </w:p>
    <w:p>
      <w:pPr>
        <w:pageBreakBefore w:val="0"/>
        <w:widowControl w:val="0"/>
        <w:numPr>
          <w:ilvl w:val="0"/>
          <w:numId w:val="1"/>
        </w:numPr>
        <w:kinsoku/>
        <w:wordWrap/>
        <w:overflowPunct/>
        <w:topLinePunct w:val="0"/>
        <w:autoSpaceDE/>
        <w:autoSpaceDN/>
        <w:bidi w:val="0"/>
        <w:adjustRightInd/>
        <w:snapToGrid/>
        <w:spacing w:line="580" w:lineRule="exact"/>
        <w:ind w:firstLine="643"/>
        <w:textAlignment w:val="auto"/>
        <w:rPr>
          <w:rFonts w:ascii="楷体" w:hAnsi="楷体" w:eastAsia="楷体" w:cs="楷体"/>
          <w:b/>
          <w:bCs/>
          <w:color w:val="auto"/>
        </w:rPr>
      </w:pPr>
      <w:r>
        <w:rPr>
          <w:rFonts w:hint="eastAsia" w:ascii="楷体" w:hAnsi="楷体" w:eastAsia="楷体" w:cs="楷体"/>
          <w:b/>
          <w:bCs/>
          <w:color w:val="auto"/>
        </w:rPr>
        <w:t>纸质材料提交地点：</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宝安区各街道行政服务大厅现场办理地址为： </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default" w:ascii="仿宋_GB2312" w:hAnsi="仿宋_GB2312" w:cs="仿宋_GB2312"/>
          <w:szCs w:val="32"/>
        </w:rPr>
        <w:t>.</w:t>
      </w:r>
      <w:r>
        <w:rPr>
          <w:rFonts w:hint="eastAsia" w:ascii="仿宋_GB2312" w:hAnsi="仿宋_GB2312" w:eastAsia="仿宋_GB2312" w:cs="仿宋_GB2312"/>
          <w:szCs w:val="32"/>
        </w:rPr>
        <w:t>深圳市宝安区新安街道办事处行政服务大厅综合窗口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w:t>
      </w:r>
      <w:r>
        <w:rPr>
          <w:rFonts w:hint="default" w:ascii="仿宋_GB2312" w:hAnsi="仿宋_GB2312" w:cs="仿宋_GB2312"/>
          <w:szCs w:val="32"/>
        </w:rPr>
        <w:t>深</w:t>
      </w:r>
      <w:r>
        <w:rPr>
          <w:rFonts w:hint="eastAsia" w:ascii="仿宋_GB2312" w:hAnsi="仿宋_GB2312" w:eastAsia="仿宋_GB2312" w:cs="仿宋_GB2312"/>
          <w:szCs w:val="32"/>
        </w:rPr>
        <w:t>圳市宝安区新安街道永嘉路新安综合服务大楼</w:t>
      </w:r>
      <w:r>
        <w:rPr>
          <w:rFonts w:hint="default" w:hAnsi="仿宋_GB2312" w:cs="仿宋_GB2312"/>
          <w:szCs w:val="32"/>
        </w:rPr>
        <w:t>三楼</w:t>
      </w:r>
      <w:r>
        <w:rPr>
          <w:rFonts w:hint="eastAsia" w:ascii="仿宋_GB2312" w:hAnsi="仿宋_GB2312" w:eastAsia="仿宋_GB2312" w:cs="仿宋_GB2312"/>
          <w:szCs w:val="32"/>
        </w:rPr>
        <w:t>（万达广场旁）</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2.</w:t>
      </w:r>
      <w:r>
        <w:rPr>
          <w:rFonts w:hint="eastAsia" w:ascii="仿宋_GB2312" w:hAnsi="仿宋_GB2312" w:eastAsia="仿宋_GB2312" w:cs="仿宋_GB2312"/>
          <w:szCs w:val="32"/>
        </w:rPr>
        <w:t>深圳市宝安区西乡街道办事处行政服务大厅综合窗口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办理地点：深圳市宝安区西乡街道宝民二路110号1-2楼行政服务大厅（恒丰海悦酒店对面）</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3.</w:t>
      </w:r>
      <w:r>
        <w:rPr>
          <w:rFonts w:hint="eastAsia" w:ascii="仿宋_GB2312" w:hAnsi="仿宋_GB2312" w:eastAsia="仿宋_GB2312" w:cs="仿宋_GB2312"/>
          <w:szCs w:val="32"/>
        </w:rPr>
        <w:t>深圳市宝安区航城街道办事处行政服务大厅</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办理地点：深圳市宝安区航城街道凯成二路17号政务楼一楼航城街道行政服务大厅</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4.</w:t>
      </w:r>
      <w:r>
        <w:rPr>
          <w:rFonts w:hint="eastAsia" w:ascii="仿宋_GB2312" w:hAnsi="仿宋_GB2312" w:eastAsia="仿宋_GB2312" w:cs="仿宋_GB2312"/>
          <w:szCs w:val="32"/>
        </w:rPr>
        <w:t>深圳市宝安区福永街道办事处行政服务大厅综合窗口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办理地点：深圳市宝安区福永街道福永大道303号万福大厦一楼行政服务大厅</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5.</w:t>
      </w:r>
      <w:r>
        <w:rPr>
          <w:rFonts w:hint="eastAsia" w:ascii="仿宋_GB2312" w:hAnsi="仿宋_GB2312" w:eastAsia="仿宋_GB2312" w:cs="仿宋_GB2312"/>
          <w:szCs w:val="32"/>
        </w:rPr>
        <w:t>深圳市宝安区福海街道办事处行政服务大厅综合窗口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办理地点：深圳市宝安区福海街道和平社区永和路北8号福海街道办事处行政服务大厅</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6.</w:t>
      </w:r>
      <w:r>
        <w:rPr>
          <w:rFonts w:hint="eastAsia" w:ascii="仿宋_GB2312" w:hAnsi="仿宋_GB2312" w:eastAsia="仿宋_GB2312" w:cs="仿宋_GB2312"/>
          <w:szCs w:val="32"/>
        </w:rPr>
        <w:t>深圳市宝安区沙井街道办事处行政服务大厅综合窗口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办理地点：深圳市宝安区沙井街道银图路1号一楼行政服务大厅</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7.</w:t>
      </w:r>
      <w:r>
        <w:rPr>
          <w:rFonts w:hint="eastAsia" w:ascii="仿宋_GB2312" w:hAnsi="仿宋_GB2312" w:eastAsia="仿宋_GB2312" w:cs="仿宋_GB2312"/>
          <w:szCs w:val="32"/>
        </w:rPr>
        <w:t>深圳市宝安区新桥街道办事处行政服务大厅综合窗口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办理地点：深圳市宝安区新桥街道上寮企安路3号行政服务大楼</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8.</w:t>
      </w:r>
      <w:r>
        <w:rPr>
          <w:rFonts w:hint="eastAsia" w:ascii="仿宋_GB2312" w:hAnsi="仿宋_GB2312" w:eastAsia="仿宋_GB2312" w:cs="仿宋_GB2312"/>
          <w:szCs w:val="32"/>
        </w:rPr>
        <w:t>深圳市宝安区松岗街道办事处行政服务大厅综合窗口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办理地点：深圳市宝安区松岗街道金开路1号东方二六大厦二楼行政服务大厅</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9.</w:t>
      </w:r>
      <w:r>
        <w:rPr>
          <w:rFonts w:hint="eastAsia" w:ascii="仿宋_GB2312" w:hAnsi="仿宋_GB2312" w:eastAsia="仿宋_GB2312" w:cs="仿宋_GB2312"/>
          <w:szCs w:val="32"/>
        </w:rPr>
        <w:t>深圳市宝安区燕罗街道办事处行政服务大厅综合窗口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办理地点：深圳市宝安区燕罗街道罗田社区燕罗公路190号（罗田市场斜对面）</w:t>
      </w:r>
    </w:p>
    <w:p>
      <w:pPr>
        <w:keepNext w:val="0"/>
        <w:keepLines w:val="0"/>
        <w:pageBreakBefore w:val="0"/>
        <w:widowControl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default" w:ascii="仿宋_GB2312" w:hAnsi="仿宋_GB2312" w:cs="仿宋_GB2312"/>
          <w:szCs w:val="32"/>
        </w:rPr>
        <w:t>10.</w:t>
      </w:r>
      <w:r>
        <w:rPr>
          <w:rFonts w:hint="eastAsia" w:ascii="仿宋_GB2312" w:hAnsi="仿宋_GB2312" w:eastAsia="仿宋_GB2312" w:cs="仿宋_GB2312"/>
          <w:szCs w:val="32"/>
        </w:rPr>
        <w:t>深圳市宝安区石岩街道办事处行政服务大厅综合窗口</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办理地点：深圳市宝安区石岩街道育才路1000号石岩文化艺术中心一楼石岩街道办事处行政服务大厅</w:t>
      </w:r>
    </w:p>
    <w:p>
      <w:pPr>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黑体"/>
          <w:color w:val="auto"/>
          <w:szCs w:val="32"/>
        </w:rPr>
      </w:pPr>
      <w:r>
        <w:rPr>
          <w:rFonts w:hint="eastAsia" w:ascii="黑体" w:hAnsi="黑体" w:eastAsia="黑体" w:cs="黑体"/>
          <w:color w:val="auto"/>
          <w:szCs w:val="32"/>
        </w:rPr>
        <w:t>五、注意事项</w:t>
      </w:r>
    </w:p>
    <w:p>
      <w:pPr>
        <w:pageBreakBefore w:val="0"/>
        <w:widowControl w:val="0"/>
        <w:kinsoku/>
        <w:wordWrap/>
        <w:overflowPunct/>
        <w:topLinePunct w:val="0"/>
        <w:autoSpaceDE/>
        <w:autoSpaceDN/>
        <w:bidi w:val="0"/>
        <w:adjustRightInd/>
        <w:snapToGrid/>
        <w:spacing w:line="580" w:lineRule="exact"/>
        <w:ind w:firstLine="640"/>
        <w:textAlignment w:val="auto"/>
        <w:rPr>
          <w:rFonts w:hAnsi="宋体"/>
          <w:color w:val="auto"/>
          <w:szCs w:val="32"/>
        </w:rPr>
      </w:pPr>
      <w:r>
        <w:rPr>
          <w:rFonts w:hint="eastAsia"/>
          <w:color w:val="auto"/>
          <w:szCs w:val="32"/>
        </w:rPr>
        <w:t>1.企业应按照要求提供真实、完整的申请材料，每一项材料应加盖企业公章，除</w:t>
      </w:r>
      <w:r>
        <w:rPr>
          <w:rFonts w:hint="eastAsia"/>
          <w:color w:val="auto"/>
        </w:rPr>
        <w:t>法定代表人身份证外，</w:t>
      </w:r>
      <w:r>
        <w:rPr>
          <w:rFonts w:hint="eastAsia"/>
          <w:color w:val="auto"/>
          <w:szCs w:val="32"/>
        </w:rPr>
        <w:t>各类证照、证明文件复印件需验原件。网上申报</w:t>
      </w:r>
      <w:r>
        <w:rPr>
          <w:color w:val="auto"/>
          <w:szCs w:val="32"/>
        </w:rPr>
        <w:t>后</w:t>
      </w:r>
      <w:r>
        <w:rPr>
          <w:rFonts w:hint="eastAsia"/>
          <w:color w:val="auto"/>
          <w:szCs w:val="32"/>
        </w:rPr>
        <w:t>打印通过预审的申请表装订在第1页，其余的材料按照申报顺序装订，材料一式一份，用A4纸装订成册。</w:t>
      </w:r>
    </w:p>
    <w:p>
      <w:pPr>
        <w:pageBreakBefore w:val="0"/>
        <w:widowControl w:val="0"/>
        <w:kinsoku/>
        <w:wordWrap/>
        <w:overflowPunct/>
        <w:topLinePunct w:val="0"/>
        <w:autoSpaceDE/>
        <w:autoSpaceDN/>
        <w:bidi w:val="0"/>
        <w:adjustRightInd/>
        <w:snapToGrid/>
        <w:spacing w:line="580" w:lineRule="exact"/>
        <w:ind w:firstLine="640"/>
        <w:textAlignment w:val="auto"/>
        <w:rPr>
          <w:color w:val="auto"/>
          <w:szCs w:val="32"/>
        </w:rPr>
      </w:pPr>
      <w:r>
        <w:rPr>
          <w:rFonts w:hint="eastAsia"/>
          <w:color w:val="auto"/>
          <w:szCs w:val="32"/>
        </w:rPr>
        <w:t>2.同一</w:t>
      </w:r>
      <w:r>
        <w:rPr>
          <w:color w:val="auto"/>
          <w:szCs w:val="32"/>
        </w:rPr>
        <w:t>事项</w:t>
      </w:r>
      <w:r>
        <w:rPr>
          <w:rFonts w:hint="eastAsia"/>
          <w:color w:val="auto"/>
          <w:szCs w:val="32"/>
        </w:rPr>
        <w:t>只能</w:t>
      </w:r>
      <w:r>
        <w:rPr>
          <w:color w:val="auto"/>
          <w:szCs w:val="32"/>
        </w:rPr>
        <w:t>申报一</w:t>
      </w:r>
      <w:r>
        <w:rPr>
          <w:rFonts w:hint="eastAsia"/>
          <w:color w:val="auto"/>
          <w:szCs w:val="32"/>
        </w:rPr>
        <w:t>项</w:t>
      </w:r>
      <w:r>
        <w:rPr>
          <w:color w:val="auto"/>
          <w:szCs w:val="32"/>
        </w:rPr>
        <w:t>资助政策，不得重复申报或多头申报。</w:t>
      </w:r>
      <w:r>
        <w:rPr>
          <w:rFonts w:hint="eastAsia"/>
          <w:color w:val="auto"/>
          <w:szCs w:val="32"/>
        </w:rPr>
        <w:t xml:space="preserve"> </w:t>
      </w:r>
    </w:p>
    <w:p>
      <w:pPr>
        <w:ind w:firstLine="640"/>
        <w:rPr>
          <w:rFonts w:hint="eastAsia" w:ascii="仿宋_GB2312" w:hAnsi="仿宋_GB2312" w:eastAsia="仿宋_GB2312" w:cs="仿宋_GB2312"/>
        </w:rPr>
      </w:pPr>
      <w:r>
        <w:rPr>
          <w:rFonts w:hint="eastAsia" w:ascii="仿宋_GB2312" w:hAnsi="Times New Roman" w:eastAsia="仿宋_GB2312" w:cs="Times New Roman"/>
          <w:color w:val="auto"/>
          <w:kern w:val="2"/>
          <w:sz w:val="32"/>
          <w:szCs w:val="32"/>
          <w:lang w:val="en-US" w:eastAsia="zh-CN" w:bidi="ar-SA"/>
        </w:rPr>
        <w:t>3.</w:t>
      </w:r>
      <w:r>
        <w:rPr>
          <w:rFonts w:hint="default" w:ascii="仿宋_GB2312" w:hAnsi="仿宋_GB2312" w:cs="仿宋_GB2312"/>
        </w:rPr>
        <w:t>业务</w:t>
      </w:r>
      <w:r>
        <w:rPr>
          <w:rFonts w:hint="eastAsia" w:ascii="仿宋_GB2312" w:hAnsi="仿宋_GB2312" w:eastAsia="仿宋_GB2312" w:cs="仿宋_GB2312"/>
        </w:rPr>
        <w:t>咨询：刘工0755-27848803；</w:t>
      </w:r>
    </w:p>
    <w:p>
      <w:pPr>
        <w:ind w:firstLine="640"/>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rPr>
        <w:t>申报系统技术</w:t>
      </w:r>
      <w:r>
        <w:rPr>
          <w:rFonts w:hint="default" w:ascii="仿宋_GB2312" w:hAnsi="仿宋_GB2312" w:cs="仿宋_GB2312"/>
        </w:rPr>
        <w:t>咨询</w:t>
      </w:r>
      <w:r>
        <w:rPr>
          <w:rFonts w:hint="eastAsia" w:ascii="仿宋_GB2312" w:hAnsi="仿宋_GB2312" w:eastAsia="仿宋_GB2312" w:cs="仿宋_GB2312"/>
        </w:rPr>
        <w:t>：0755-29991101</w:t>
      </w:r>
      <w:r>
        <w:rPr>
          <w:rFonts w:hint="default" w:ascii="仿宋_GB2312" w:hAnsi="仿宋_GB2312" w:cs="仿宋_GB2312"/>
        </w:rPr>
        <w:t>。</w:t>
      </w:r>
    </w:p>
    <w:p>
      <w:pPr>
        <w:pageBreakBefore w:val="0"/>
        <w:kinsoku/>
        <w:wordWrap/>
        <w:overflowPunct/>
        <w:topLinePunct w:val="0"/>
        <w:autoSpaceDE/>
        <w:autoSpaceDN/>
        <w:bidi w:val="0"/>
        <w:spacing w:line="580" w:lineRule="exact"/>
        <w:ind w:firstLine="640"/>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0067B"/>
    <w:multiLevelType w:val="singleLevel"/>
    <w:tmpl w:val="FCB006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2436B"/>
    <w:rsid w:val="00205670"/>
    <w:rsid w:val="006258CD"/>
    <w:rsid w:val="00D0520A"/>
    <w:rsid w:val="00E17176"/>
    <w:rsid w:val="121038CA"/>
    <w:rsid w:val="1495272C"/>
    <w:rsid w:val="1BF178C7"/>
    <w:rsid w:val="1DCE60A6"/>
    <w:rsid w:val="22C77590"/>
    <w:rsid w:val="25114CBF"/>
    <w:rsid w:val="2A9A2EAE"/>
    <w:rsid w:val="33C6412C"/>
    <w:rsid w:val="38786B66"/>
    <w:rsid w:val="3C7B45FF"/>
    <w:rsid w:val="46A972D2"/>
    <w:rsid w:val="53681F8C"/>
    <w:rsid w:val="54312A2C"/>
    <w:rsid w:val="58286E9D"/>
    <w:rsid w:val="58873C99"/>
    <w:rsid w:val="5BE046E9"/>
    <w:rsid w:val="5F2FA8A9"/>
    <w:rsid w:val="60392CC5"/>
    <w:rsid w:val="60720EE4"/>
    <w:rsid w:val="6C69268F"/>
    <w:rsid w:val="6DBF7279"/>
    <w:rsid w:val="6FFDE3FE"/>
    <w:rsid w:val="71FC0AB1"/>
    <w:rsid w:val="776D335E"/>
    <w:rsid w:val="784C2EB1"/>
    <w:rsid w:val="78FD2C56"/>
    <w:rsid w:val="79D386A6"/>
    <w:rsid w:val="7B7F7520"/>
    <w:rsid w:val="7FD2436B"/>
    <w:rsid w:val="86EA5977"/>
    <w:rsid w:val="CFDF48C1"/>
    <w:rsid w:val="CFF5BA45"/>
    <w:rsid w:val="E5FF71D0"/>
    <w:rsid w:val="FD5F8451"/>
    <w:rsid w:val="FFFFE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仿宋_GB2312" w:hAnsi="Times New Roman" w:eastAsia="仿宋_GB2312" w:cs="Times New Roman"/>
      <w:kern w:val="2"/>
      <w:sz w:val="32"/>
      <w:szCs w:val="24"/>
      <w:lang w:val="en-US" w:eastAsia="zh-CN" w:bidi="ar-SA"/>
    </w:rPr>
  </w:style>
  <w:style w:type="paragraph" w:styleId="5">
    <w:name w:val="heading 1"/>
    <w:basedOn w:val="1"/>
    <w:next w:val="1"/>
    <w:qFormat/>
    <w:uiPriority w:val="0"/>
    <w:pPr>
      <w:keepNext/>
      <w:keepLines/>
      <w:jc w:val="left"/>
      <w:outlineLvl w:val="0"/>
    </w:pPr>
    <w:rPr>
      <w:rFonts w:eastAsia="黑体"/>
      <w:bCs/>
      <w:kern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宋体" w:cs="Times New Roman"/>
      <w:szCs w:val="24"/>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6">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Title"/>
    <w:basedOn w:val="1"/>
    <w:next w:val="1"/>
    <w:qFormat/>
    <w:uiPriority w:val="0"/>
    <w:pPr>
      <w:spacing w:before="240" w:after="60"/>
      <w:jc w:val="center"/>
      <w:outlineLvl w:val="0"/>
    </w:pPr>
    <w:rPr>
      <w:rFonts w:ascii="Calibri Light" w:hAnsi="Calibri Light" w:eastAsia="宋体"/>
      <w:b/>
      <w:bCs/>
      <w:szCs w:val="32"/>
    </w:rPr>
  </w:style>
  <w:style w:type="character" w:customStyle="1" w:styleId="12">
    <w:name w:val="页眉 Char"/>
    <w:basedOn w:val="11"/>
    <w:link w:val="7"/>
    <w:qFormat/>
    <w:uiPriority w:val="0"/>
    <w:rPr>
      <w:rFonts w:ascii="仿宋_GB2312" w:eastAsia="仿宋_GB2312"/>
      <w:kern w:val="2"/>
      <w:sz w:val="18"/>
      <w:szCs w:val="18"/>
    </w:rPr>
  </w:style>
  <w:style w:type="character" w:customStyle="1" w:styleId="13">
    <w:name w:val="页脚 Char"/>
    <w:basedOn w:val="11"/>
    <w:link w:val="6"/>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Words>
  <Characters>1351</Characters>
  <Lines>11</Lines>
  <Paragraphs>3</Paragraphs>
  <TotalTime>29</TotalTime>
  <ScaleCrop>false</ScaleCrop>
  <LinksUpToDate>false</LinksUpToDate>
  <CharactersWithSpaces>1585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2020-02-28T23:32:00Z</dcterms:created>
  <dc:creator>bajmj1304</dc:creator>
  <cp:lastModifiedBy>工信局经济运行与产业资金科</cp:lastModifiedBy>
  <dcterms:modified xsi:type="dcterms:W3CDTF">2022-02-22T10:00:35Z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