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olor w:val="000000"/>
          <w:sz w:val="32"/>
          <w:szCs w:val="32"/>
        </w:rPr>
      </w:pPr>
      <w:bookmarkStart w:id="0" w:name="_GoBack"/>
      <w:bookmarkEnd w:id="0"/>
    </w:p>
    <w:p>
      <w:pPr>
        <w:spacing w:line="56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pPr>
        <w:spacing w:line="560" w:lineRule="exact"/>
        <w:jc w:val="center"/>
        <w:rPr>
          <w:rFonts w:ascii="黑体" w:eastAsia="黑体"/>
          <w:color w:val="000000"/>
          <w:sz w:val="32"/>
          <w:szCs w:val="32"/>
        </w:rPr>
      </w:pPr>
      <w:r>
        <w:rPr>
          <w:rFonts w:hint="eastAsia" w:ascii="黑体" w:eastAsia="黑体"/>
          <w:color w:val="000000"/>
          <w:sz w:val="32"/>
          <w:szCs w:val="32"/>
        </w:rPr>
        <w:t>企业上市融资奖励</w:t>
      </w:r>
      <w:r>
        <w:rPr>
          <w:rFonts w:hint="eastAsia" w:ascii="黑体" w:eastAsia="黑体"/>
          <w:color w:val="000000"/>
          <w:sz w:val="32"/>
          <w:szCs w:val="32"/>
          <w:lang w:eastAsia="zh-CN"/>
        </w:rPr>
        <w:t>（</w:t>
      </w:r>
      <w:r>
        <w:rPr>
          <w:rFonts w:hint="eastAsia" w:ascii="黑体" w:eastAsia="黑体"/>
          <w:color w:val="000000"/>
          <w:sz w:val="32"/>
          <w:szCs w:val="32"/>
          <w:lang w:val="en-US" w:eastAsia="zh-CN"/>
        </w:rPr>
        <w:t>股改</w:t>
      </w:r>
      <w:r>
        <w:rPr>
          <w:rFonts w:hint="eastAsia" w:ascii="黑体" w:eastAsia="黑体"/>
          <w:color w:val="000000"/>
          <w:sz w:val="32"/>
          <w:szCs w:val="32"/>
          <w:lang w:eastAsia="zh-CN"/>
        </w:rPr>
        <w:t>）</w:t>
      </w:r>
      <w:r>
        <w:rPr>
          <w:rFonts w:hint="eastAsia" w:ascii="黑体" w:eastAsia="黑体"/>
          <w:color w:val="000000"/>
          <w:sz w:val="32"/>
          <w:szCs w:val="32"/>
        </w:rPr>
        <w:t>项目操作规程（20</w:t>
      </w:r>
      <w:r>
        <w:rPr>
          <w:rFonts w:ascii="黑体" w:eastAsia="黑体"/>
          <w:color w:val="000000"/>
          <w:sz w:val="32"/>
          <w:szCs w:val="32"/>
        </w:rPr>
        <w:t>2</w:t>
      </w:r>
      <w:r>
        <w:rPr>
          <w:rFonts w:hint="eastAsia" w:ascii="黑体" w:eastAsia="黑体"/>
          <w:color w:val="000000"/>
          <w:sz w:val="32"/>
          <w:szCs w:val="32"/>
          <w:lang w:val="en-US" w:eastAsia="zh-CN"/>
        </w:rPr>
        <w:t>2</w:t>
      </w:r>
      <w:r>
        <w:rPr>
          <w:rFonts w:hint="eastAsia" w:ascii="黑体" w:eastAsia="黑体"/>
          <w:color w:val="000000"/>
          <w:sz w:val="32"/>
          <w:szCs w:val="32"/>
        </w:rPr>
        <w:t>年度）</w:t>
      </w:r>
    </w:p>
    <w:p>
      <w:pPr>
        <w:spacing w:line="560" w:lineRule="exact"/>
        <w:jc w:val="center"/>
        <w:rPr>
          <w:rFonts w:ascii="宋体" w:hAnsi="宋体"/>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为加快转变经济发展方式，推动产业结构优化升级，根据《南山区自主创新产业发展专项资金管理办法》及《南山区自主创新产业发展专项资金经济发展分项资金实施细则》，制定本操作规程。</w:t>
      </w:r>
    </w:p>
    <w:p>
      <w:pPr>
        <w:widowControl/>
        <w:spacing w:line="560" w:lineRule="exact"/>
        <w:ind w:firstLine="640" w:firstLineChars="200"/>
        <w:rPr>
          <w:rFonts w:ascii="黑体" w:eastAsia="黑体"/>
          <w:color w:val="000000"/>
          <w:sz w:val="32"/>
          <w:szCs w:val="32"/>
        </w:rPr>
      </w:pPr>
      <w:r>
        <w:rPr>
          <w:rFonts w:hint="eastAsia" w:ascii="黑体" w:eastAsia="黑体"/>
          <w:color w:val="000000"/>
          <w:sz w:val="32"/>
          <w:szCs w:val="32"/>
        </w:rPr>
        <w:t>一、政策内容</w:t>
      </w:r>
    </w:p>
    <w:p>
      <w:pPr>
        <w:widowControl/>
        <w:spacing w:line="560" w:lineRule="exact"/>
        <w:ind w:firstLine="640" w:firstLineChars="200"/>
        <w:rPr>
          <w:rFonts w:hint="eastAsia" w:ascii="黑体" w:eastAsia="黑体"/>
          <w:sz w:val="32"/>
          <w:szCs w:val="32"/>
        </w:rPr>
      </w:pPr>
      <w:r>
        <w:rPr>
          <w:rFonts w:hint="eastAsia" w:ascii="仿宋_GB2312" w:hAnsi="仿宋_GB2312" w:eastAsia="仿宋_GB2312"/>
          <w:color w:val="000000"/>
          <w:sz w:val="32"/>
        </w:rPr>
        <w:t>对计划在境内主板、中小板、创业板、科创板以及海外主要资本市场主板</w:t>
      </w:r>
      <w:r>
        <w:rPr>
          <w:rFonts w:hint="eastAsia" w:ascii="仿宋_GB2312" w:hAnsi="仿宋_GB2312" w:eastAsia="仿宋_GB2312"/>
          <w:sz w:val="32"/>
        </w:rPr>
        <w:t>和创业板上市的企业给予奖励</w:t>
      </w:r>
      <w:r>
        <w:rPr>
          <w:rFonts w:hint="eastAsia" w:ascii="仿宋_GB2312" w:hAnsi="仿宋_GB2312" w:eastAsia="仿宋_GB2312"/>
          <w:sz w:val="32"/>
          <w:lang w:eastAsia="zh-CN"/>
        </w:rPr>
        <w:t>。</w:t>
      </w:r>
    </w:p>
    <w:p>
      <w:pPr>
        <w:widowControl/>
        <w:spacing w:line="560" w:lineRule="exact"/>
        <w:ind w:firstLine="640" w:firstLineChars="200"/>
        <w:rPr>
          <w:rFonts w:ascii="黑体" w:eastAsia="黑体"/>
          <w:sz w:val="32"/>
          <w:szCs w:val="32"/>
        </w:rPr>
      </w:pPr>
      <w:r>
        <w:rPr>
          <w:rFonts w:hint="eastAsia" w:ascii="黑体" w:eastAsia="黑体"/>
          <w:sz w:val="32"/>
          <w:szCs w:val="32"/>
        </w:rPr>
        <w:t>二、资助方式</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spacing w:line="560" w:lineRule="exact"/>
        <w:ind w:firstLine="640" w:firstLineChars="200"/>
        <w:jc w:val="left"/>
        <w:rPr>
          <w:rFonts w:ascii="仿宋_GB2312" w:eastAsia="仿宋_GB2312"/>
          <w:sz w:val="32"/>
          <w:szCs w:val="32"/>
        </w:rPr>
      </w:pPr>
      <w:r>
        <w:rPr>
          <w:rFonts w:hint="eastAsia" w:ascii="黑体" w:eastAsia="黑体"/>
          <w:sz w:val="32"/>
          <w:szCs w:val="32"/>
        </w:rPr>
        <w:t>三、资助标准</w:t>
      </w:r>
    </w:p>
    <w:p>
      <w:pPr>
        <w:snapToGrid w:val="0"/>
        <w:spacing w:line="560" w:lineRule="exact"/>
        <w:ind w:left="-27" w:leftChars="-13" w:firstLine="640" w:firstLineChars="200"/>
        <w:rPr>
          <w:rFonts w:ascii="仿宋_GB2312" w:hAnsi="仿宋_GB2312" w:eastAsia="仿宋_GB2312"/>
          <w:sz w:val="32"/>
        </w:rPr>
      </w:pPr>
      <w:r>
        <w:rPr>
          <w:rFonts w:hint="eastAsia" w:ascii="仿宋_GB2312" w:hAnsi="仿宋_GB2312" w:eastAsia="仿宋_GB2312"/>
          <w:sz w:val="32"/>
        </w:rPr>
        <w:t>（一）对计划在境内主板</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含原</w:t>
      </w:r>
      <w:r>
        <w:rPr>
          <w:rFonts w:hint="eastAsia" w:ascii="仿宋_GB2312" w:hAnsi="仿宋_GB2312" w:eastAsia="仿宋_GB2312"/>
          <w:sz w:val="32"/>
        </w:rPr>
        <w:t>中小板</w:t>
      </w:r>
      <w:r>
        <w:rPr>
          <w:rFonts w:hint="eastAsia" w:ascii="仿宋_GB2312" w:hAnsi="仿宋_GB2312" w:eastAsia="仿宋_GB2312"/>
          <w:sz w:val="32"/>
          <w:lang w:eastAsia="zh-CN"/>
        </w:rPr>
        <w:t>）</w:t>
      </w:r>
      <w:r>
        <w:rPr>
          <w:rFonts w:hint="eastAsia" w:ascii="仿宋_GB2312" w:hAnsi="仿宋_GB2312" w:eastAsia="仿宋_GB2312"/>
          <w:sz w:val="32"/>
        </w:rPr>
        <w:t>、创业板、科创板以及海外主要资本市场主板和创业板上市的企业，在区上市办进行了股改备案登记并已聘请中介机构完成股份制改造的，一次性给予60万元奖励。</w:t>
      </w:r>
    </w:p>
    <w:p>
      <w:pPr>
        <w:widowControl/>
        <w:spacing w:line="560" w:lineRule="exact"/>
        <w:ind w:firstLine="640" w:firstLineChars="200"/>
        <w:rPr>
          <w:rFonts w:ascii="仿宋_GB2312" w:eastAsia="仿宋_GB2312" w:cs="宋体"/>
          <w:b/>
          <w:bCs/>
          <w:sz w:val="32"/>
          <w:szCs w:val="32"/>
        </w:rPr>
      </w:pPr>
      <w:r>
        <w:rPr>
          <w:rFonts w:hint="eastAsia" w:ascii="仿宋_GB2312" w:hAnsi="仿宋_GB2312" w:eastAsia="仿宋_GB2312"/>
          <w:sz w:val="32"/>
        </w:rPr>
        <w:t>（二）</w:t>
      </w:r>
      <w:r>
        <w:rPr>
          <w:rFonts w:hint="eastAsia" w:ascii="仿宋_GB2312" w:eastAsia="仿宋_GB2312" w:cs="宋体"/>
          <w:bCs/>
          <w:sz w:val="32"/>
          <w:szCs w:val="32"/>
        </w:rPr>
        <w:t>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第十三条第（四）款“每家单位同一年度获得的资助金额原则上不超过其上一年度形成的区级地方财力贡献”限制。</w:t>
      </w:r>
    </w:p>
    <w:p>
      <w:pPr>
        <w:widowControl/>
        <w:spacing w:line="560" w:lineRule="exact"/>
        <w:ind w:firstLine="640" w:firstLineChars="200"/>
        <w:rPr>
          <w:rFonts w:ascii="黑体" w:eastAsia="黑体"/>
          <w:sz w:val="32"/>
          <w:szCs w:val="32"/>
        </w:rPr>
      </w:pPr>
      <w:r>
        <w:rPr>
          <w:rFonts w:hint="eastAsia" w:ascii="黑体" w:eastAsia="黑体"/>
          <w:sz w:val="32"/>
          <w:szCs w:val="32"/>
        </w:rPr>
        <w:t>四、申请条件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pPr>
        <w:numPr>
          <w:ilvl w:val="-1"/>
          <w:numId w:val="0"/>
        </w:numPr>
        <w:tabs>
          <w:tab w:val="left" w:pos="1209"/>
        </w:tabs>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在南山辖区内注册、具有独立法人资格；</w:t>
      </w:r>
    </w:p>
    <w:p>
      <w:pPr>
        <w:numPr>
          <w:ilvl w:val="-1"/>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履行统计数据申报义务、守法经营、诚实守信，有规范健全的财务制度；</w:t>
      </w:r>
    </w:p>
    <w:p>
      <w:pPr>
        <w:numPr>
          <w:ilvl w:val="-1"/>
          <w:numId w:val="0"/>
        </w:numPr>
        <w:spacing w:line="560" w:lineRule="exact"/>
        <w:ind w:leftChars="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在区上市办完成备案登记；</w:t>
      </w:r>
    </w:p>
    <w:p>
      <w:pPr>
        <w:numPr>
          <w:ilvl w:val="-1"/>
          <w:numId w:val="0"/>
        </w:numPr>
        <w:spacing w:line="560" w:lineRule="exact"/>
        <w:ind w:leftChars="0" w:firstLine="640" w:firstLineChars="200"/>
        <w:rPr>
          <w:rFonts w:ascii="仿宋_GB2312" w:eastAsia="仿宋_GB2312"/>
          <w:sz w:val="32"/>
          <w:szCs w:val="32"/>
        </w:rPr>
      </w:pPr>
      <w:r>
        <w:rPr>
          <w:rFonts w:hint="eastAsia" w:ascii="仿宋_GB2312" w:hAnsi="仿宋_GB2312" w:eastAsia="仿宋_GB2312"/>
          <w:sz w:val="32"/>
          <w:lang w:val="en-US" w:eastAsia="zh-CN"/>
        </w:rPr>
        <w:t>4.</w:t>
      </w:r>
      <w:r>
        <w:rPr>
          <w:rFonts w:hint="eastAsia" w:ascii="仿宋_GB2312" w:hAnsi="仿宋_GB2312" w:eastAsia="仿宋_GB2312"/>
          <w:sz w:val="32"/>
        </w:rPr>
        <w:t>计划在境内主板、中小板、创业板、科创板以及海外主要资本市场主板和创业板上市，已聘请中介机构完成股份制改造，或已聘请中介机构进行上市辅导并向有关管理机构递交上市申请材料获得正式受理；已在全国中小企业股份转让系统挂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近三年内在税收、安全生产、环保、劳动等方面存在重大违法行为，受到有关部门行政处罚的；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申报材料有弄虚作假情况的；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近三年内申请单位以及单位法人存在违规申报使用政府资金、商业贿赂、不良信用记录等情况的；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提出资助申请后，将企业注册地搬离南山和未按规定提交统计报表、在产业发展综合服务平台填报相关数据的；</w:t>
      </w:r>
    </w:p>
    <w:p>
      <w:pPr>
        <w:widowControl/>
        <w:spacing w:line="560" w:lineRule="exact"/>
        <w:ind w:firstLine="640" w:firstLineChars="200"/>
        <w:rPr>
          <w:rFonts w:ascii="黑体" w:eastAsia="黑体"/>
          <w:sz w:val="32"/>
          <w:szCs w:val="32"/>
        </w:rPr>
      </w:pPr>
      <w:r>
        <w:rPr>
          <w:rFonts w:hint="eastAsia" w:ascii="黑体" w:eastAsia="黑体"/>
          <w:sz w:val="32"/>
          <w:szCs w:val="32"/>
        </w:rPr>
        <w:t>五、办理流程</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（一）申请单位按照相关资金操作规程的具体要求备齐资料，通过南山区产业发展综合服务平台提出资助申请，并按要求将有关材料递交区企业服务中心窗口；</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（三）资金主管部门对申请项目进行核准或组织评审，并编制项目资助计划；</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（四）区财政局对资金主管部门的项目资助计划进行复核，区统计局对申报企业在地统计开展情况进行核查，市市场监督管理局南山监管局对申报企业注册地情况进行核查； </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（五）区企业服务中心将各资金主管部门项目资助计划向社会公示 5 个工作日，对公示期满，无有效投诉的项目资助计划，提交领导小组会议进行审议；</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（六）召开领导小组会议，对各资金主管部门提交的专项资金项目资助计划进行审定；</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（七）资金主管部门依据领导小组会议要求，会同区财政部门联合行文下达资金计划；</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（八）对获得专项资金扶持的事前资助项目，资金主管部门与项目申报单位签订专项合同；</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（九）区财政部门及时安排资金，资金主管部门办理资金拨付手续；</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（十）产业资金支持政策中申请与审核程序有其他除外情形的，在各分项资金实施细则中另行作出明确规定。</w:t>
      </w:r>
    </w:p>
    <w:p>
      <w:pPr>
        <w:spacing w:line="560" w:lineRule="exact"/>
        <w:ind w:firstLine="640" w:firstLineChars="200"/>
        <w:rPr>
          <w:rFonts w:ascii="黑体" w:eastAsia="黑体"/>
          <w:sz w:val="32"/>
          <w:szCs w:val="32"/>
        </w:rPr>
      </w:pPr>
      <w:r>
        <w:rPr>
          <w:rFonts w:hint="eastAsia" w:ascii="黑体" w:eastAsia="黑体"/>
          <w:sz w:val="32"/>
          <w:szCs w:val="32"/>
        </w:rPr>
        <w:t>六、所需材料</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（一）《项目申请书》（登录南山区产业发展综合服务平台http://sfms.szns.gov.cn/在线填写，提供通过该系统打印的申请书纸质文件并加盖公章，彩色扫描上传）；</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（二）新版“三证合一”营业执照[网上提交资料要求：原件（复印件加盖公章）彩色扫描上传]</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（三）法定代表人身份证[网上提交资料要求：原件（复印件加盖公章）彩色扫描上传]；</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（四）税务部门开具的单位2021年度纳税证明（网上提交资料要求：上传税务申报系统下载的电子版）；</w:t>
      </w:r>
    </w:p>
    <w:p>
      <w:pPr>
        <w:tabs>
          <w:tab w:val="left" w:pos="1050"/>
        </w:tabs>
        <w:spacing w:line="560" w:lineRule="exact"/>
        <w:ind w:firstLine="636" w:firstLineChars="199"/>
        <w:rPr>
          <w:rFonts w:ascii="仿宋_GB2312" w:hAnsi="宋体" w:eastAsia="仿宋_GB2312" w:cs="宋体"/>
          <w:sz w:val="32"/>
          <w:szCs w:val="32"/>
        </w:rPr>
      </w:pPr>
      <w:r>
        <w:rPr>
          <w:rFonts w:hint="eastAsia" w:ascii="仿宋_GB2312" w:eastAsia="仿宋_GB2312"/>
          <w:sz w:val="32"/>
          <w:szCs w:val="32"/>
        </w:rPr>
        <w:t>（五）工商部门批准变更登记为股份公司的文件（</w:t>
      </w:r>
      <w:r>
        <w:rPr>
          <w:rFonts w:hint="eastAsia" w:ascii="仿宋_GB2312" w:hAnsi="宋体" w:eastAsia="仿宋_GB2312" w:cs="宋体"/>
          <w:sz w:val="32"/>
          <w:szCs w:val="32"/>
        </w:rPr>
        <w:t>网上提交资料要求：原件（复印件加盖公章）彩色扫描上传</w:t>
      </w:r>
      <w:r>
        <w:rPr>
          <w:rFonts w:hint="eastAsia" w:ascii="仿宋_GB2312" w:eastAsia="仿宋_GB2312"/>
          <w:sz w:val="32"/>
          <w:szCs w:val="32"/>
        </w:rPr>
        <w:t>）；</w:t>
      </w:r>
    </w:p>
    <w:p>
      <w:pPr>
        <w:tabs>
          <w:tab w:val="left" w:pos="1050"/>
        </w:tabs>
        <w:spacing w:line="560" w:lineRule="exact"/>
        <w:ind w:firstLine="636" w:firstLineChars="199"/>
        <w:rPr>
          <w:rFonts w:ascii="仿宋_GB2312" w:hAnsi="宋体" w:eastAsia="仿宋_GB2312" w:cs="宋体"/>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企业委托中介机构提供改制相关服务的协议</w:t>
      </w:r>
      <w:r>
        <w:rPr>
          <w:rFonts w:hint="eastAsia" w:ascii="仿宋_GB2312" w:eastAsia="仿宋_GB2312"/>
          <w:sz w:val="32"/>
          <w:szCs w:val="32"/>
          <w:lang w:val="en-US" w:eastAsia="zh-CN"/>
        </w:rPr>
        <w:t>及上一年度的</w:t>
      </w:r>
      <w:r>
        <w:rPr>
          <w:rFonts w:hint="eastAsia" w:ascii="仿宋_GB2312" w:eastAsia="仿宋_GB2312"/>
          <w:sz w:val="32"/>
          <w:szCs w:val="32"/>
        </w:rPr>
        <w:t>支出费用的凭证（包括汇款凭证、发票、记账凭证等）</w:t>
      </w:r>
      <w:r>
        <w:rPr>
          <w:rFonts w:hint="eastAsia" w:ascii="仿宋_GB2312" w:hAnsi="宋体" w:eastAsia="仿宋_GB2312" w:cs="宋体"/>
          <w:sz w:val="32"/>
          <w:szCs w:val="32"/>
        </w:rPr>
        <w:t>（网上提交资料要求：原件彩色扫描上传）；</w:t>
      </w:r>
    </w:p>
    <w:p>
      <w:pPr>
        <w:tabs>
          <w:tab w:val="left" w:pos="1050"/>
        </w:tabs>
        <w:spacing w:line="560" w:lineRule="exact"/>
        <w:ind w:firstLine="636" w:firstLineChars="199"/>
        <w:rPr>
          <w:rFonts w:ascii="仿宋_GB2312" w:hAnsi="宋体" w:eastAsia="仿宋_GB2312" w:cs="宋体"/>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企业改制费用汇总表（请按附件1格式表填写）（</w:t>
      </w:r>
      <w:r>
        <w:rPr>
          <w:rFonts w:hint="eastAsia" w:ascii="仿宋_GB2312" w:hAnsi="宋体" w:eastAsia="仿宋_GB2312" w:cs="宋体"/>
          <w:sz w:val="32"/>
          <w:szCs w:val="32"/>
        </w:rPr>
        <w:t>网上提交资料要求：</w:t>
      </w:r>
      <w:r>
        <w:rPr>
          <w:rFonts w:hint="eastAsia" w:ascii="仿宋_GB2312" w:hAnsi="宋体" w:eastAsia="仿宋_GB2312" w:cs="宋体"/>
          <w:sz w:val="32"/>
          <w:szCs w:val="32"/>
          <w:lang w:val="en-US" w:eastAsia="zh-CN"/>
        </w:rPr>
        <w:t>加盖公章，</w:t>
      </w:r>
      <w:r>
        <w:rPr>
          <w:rFonts w:hint="eastAsia" w:ascii="仿宋_GB2312" w:hAnsi="宋体" w:eastAsia="仿宋_GB2312" w:cs="宋体"/>
          <w:sz w:val="32"/>
          <w:szCs w:val="32"/>
        </w:rPr>
        <w:t>彩色扫描上传</w:t>
      </w:r>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）审核部门认为需要提供的其它材料。</w:t>
      </w:r>
    </w:p>
    <w:p>
      <w:pPr>
        <w:widowControl/>
        <w:adjustRightInd w:val="0"/>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备注：本项目无需提交纸质件</w:t>
      </w:r>
    </w:p>
    <w:p>
      <w:pPr>
        <w:widowControl/>
        <w:spacing w:line="560" w:lineRule="exact"/>
        <w:ind w:firstLine="640" w:firstLineChars="200"/>
        <w:rPr>
          <w:rFonts w:ascii="黑体" w:eastAsia="黑体"/>
          <w:sz w:val="32"/>
          <w:szCs w:val="32"/>
        </w:rPr>
      </w:pPr>
      <w:r>
        <w:rPr>
          <w:rFonts w:hint="eastAsia" w:ascii="黑体" w:eastAsia="黑体"/>
          <w:sz w:val="32"/>
          <w:szCs w:val="32"/>
        </w:rPr>
        <w:t>七、时限要求</w:t>
      </w:r>
    </w:p>
    <w:p>
      <w:pPr>
        <w:widowControl/>
        <w:adjustRightInd w:val="0"/>
        <w:snapToGrid w:val="0"/>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lang w:eastAsia="zh-CN"/>
        </w:rPr>
        <w:t>区金融发展服务中心</w:t>
      </w:r>
      <w:r>
        <w:rPr>
          <w:rFonts w:hint="eastAsia" w:ascii="仿宋_GB2312" w:eastAsia="仿宋_GB2312"/>
          <w:sz w:val="32"/>
          <w:szCs w:val="32"/>
        </w:rPr>
        <w:t>每年安排1-2次集中受理企业申请（具体时间以发布的申报通知为准），资助计划下达1个月内受资助单位须办理资金拨付手续，逾期不办理者视为自动放弃。</w:t>
      </w:r>
    </w:p>
    <w:p>
      <w:pPr>
        <w:widowControl/>
        <w:spacing w:line="560" w:lineRule="exact"/>
        <w:ind w:firstLine="640" w:firstLineChars="200"/>
        <w:rPr>
          <w:rFonts w:ascii="黑体" w:eastAsia="黑体"/>
          <w:sz w:val="32"/>
          <w:szCs w:val="32"/>
        </w:rPr>
      </w:pPr>
      <w:r>
        <w:rPr>
          <w:rFonts w:hint="eastAsia" w:ascii="黑体" w:eastAsia="黑体"/>
          <w:sz w:val="32"/>
          <w:szCs w:val="32"/>
        </w:rPr>
        <w:t>八、其他事项</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pPr>
        <w:widowControl/>
        <w:spacing w:line="560" w:lineRule="exact"/>
        <w:ind w:firstLine="640" w:firstLineChars="200"/>
        <w:rPr>
          <w:rFonts w:ascii="黑体" w:eastAsia="黑体"/>
          <w:sz w:val="32"/>
          <w:szCs w:val="32"/>
        </w:rPr>
      </w:pPr>
      <w:r>
        <w:rPr>
          <w:rFonts w:hint="eastAsia" w:ascii="黑体" w:eastAsia="黑体"/>
          <w:sz w:val="32"/>
          <w:szCs w:val="32"/>
        </w:rPr>
        <w:t>九、附则</w:t>
      </w:r>
    </w:p>
    <w:p>
      <w:pPr>
        <w:spacing w:line="560" w:lineRule="exact"/>
        <w:ind w:firstLine="640" w:firstLineChars="200"/>
        <w:rPr>
          <w:rFonts w:ascii="仿宋_GB2312" w:eastAsia="仿宋_GB2312"/>
          <w:color w:val="000000"/>
          <w:sz w:val="32"/>
          <w:szCs w:val="32"/>
        </w:rPr>
        <w:sectPr>
          <w:footerReference r:id="rId3" w:type="default"/>
          <w:footerReference r:id="rId4" w:type="even"/>
          <w:pgSz w:w="11906" w:h="16838"/>
          <w:pgMar w:top="1440" w:right="1361" w:bottom="1440" w:left="1587" w:header="851" w:footer="992" w:gutter="0"/>
          <w:cols w:space="720" w:num="1"/>
          <w:docGrid w:type="lines" w:linePitch="312" w:charSpace="0"/>
        </w:sectPr>
      </w:pPr>
      <w:r>
        <w:rPr>
          <w:rFonts w:hint="eastAsia" w:ascii="仿宋_GB2312" w:eastAsia="仿宋_GB2312"/>
          <w:sz w:val="32"/>
          <w:szCs w:val="32"/>
        </w:rPr>
        <w:t>本操作规程由南山</w:t>
      </w:r>
      <w:r>
        <w:rPr>
          <w:rFonts w:hint="eastAsia" w:ascii="仿宋_GB2312" w:eastAsia="仿宋_GB2312"/>
          <w:sz w:val="32"/>
          <w:szCs w:val="32"/>
          <w:lang w:eastAsia="zh-CN"/>
        </w:rPr>
        <w:t>区金融发展服务中心</w:t>
      </w:r>
      <w:r>
        <w:rPr>
          <w:rFonts w:hint="eastAsia" w:ascii="仿宋_GB2312" w:eastAsia="仿宋_GB2312"/>
          <w:sz w:val="32"/>
          <w:szCs w:val="32"/>
        </w:rPr>
        <w:t>负责解释，自发布之日起施行。</w:t>
      </w:r>
    </w:p>
    <w:p>
      <w:pPr>
        <w:spacing w:line="580" w:lineRule="exact"/>
        <w:rPr>
          <w:rFonts w:ascii="仿宋_GB2312" w:eastAsia="仿宋_GB2312"/>
          <w:color w:val="000000"/>
          <w:sz w:val="32"/>
          <w:szCs w:val="32"/>
        </w:rPr>
      </w:pPr>
      <w:r>
        <w:rPr>
          <w:rFonts w:hint="eastAsia" w:ascii="仿宋_GB2312" w:eastAsia="仿宋_GB2312"/>
          <w:color w:val="000000"/>
          <w:sz w:val="32"/>
          <w:szCs w:val="32"/>
        </w:rPr>
        <w:t>附件1：</w:t>
      </w:r>
    </w:p>
    <w:p>
      <w:pPr>
        <w:spacing w:line="580" w:lineRule="exact"/>
        <w:jc w:val="center"/>
        <w:rPr>
          <w:rFonts w:ascii="宋体" w:hAnsi="宋体"/>
          <w:color w:val="000000"/>
          <w:sz w:val="32"/>
          <w:szCs w:val="32"/>
        </w:rPr>
      </w:pPr>
      <w:r>
        <w:rPr>
          <w:rFonts w:hint="eastAsia" w:ascii="宋体" w:hAnsi="宋体"/>
          <w:color w:val="000000"/>
          <w:sz w:val="32"/>
          <w:szCs w:val="32"/>
        </w:rPr>
        <w:t>企业改制上市辅导费用汇总表</w:t>
      </w:r>
    </w:p>
    <w:p>
      <w:pPr>
        <w:rPr>
          <w:rFonts w:ascii="宋体" w:hAnsi="宋体"/>
          <w:color w:val="000000"/>
          <w:sz w:val="32"/>
          <w:szCs w:val="32"/>
        </w:rPr>
      </w:pPr>
      <w:r>
        <w:rPr>
          <w:rFonts w:hint="eastAsia" w:ascii="宋体" w:hAnsi="宋体"/>
          <w:color w:val="000000"/>
          <w:sz w:val="28"/>
          <w:szCs w:val="28"/>
        </w:rPr>
        <w:t>单位名称（盖章）：</w:t>
      </w:r>
    </w:p>
    <w:tbl>
      <w:tblPr>
        <w:tblStyle w:val="8"/>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65"/>
        <w:gridCol w:w="2693"/>
        <w:gridCol w:w="1472"/>
        <w:gridCol w:w="1363"/>
        <w:gridCol w:w="141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jc w:val="center"/>
              <w:rPr>
                <w:rFonts w:ascii="黑体" w:eastAsia="黑体"/>
                <w:color w:val="000000"/>
              </w:rPr>
            </w:pPr>
            <w:r>
              <w:rPr>
                <w:rFonts w:hint="eastAsia" w:ascii="黑体" w:eastAsia="黑体"/>
                <w:color w:val="000000"/>
              </w:rPr>
              <w:t>序号</w:t>
            </w:r>
          </w:p>
        </w:tc>
        <w:tc>
          <w:tcPr>
            <w:tcW w:w="2065" w:type="dxa"/>
            <w:shd w:val="clear" w:color="auto" w:fill="auto"/>
          </w:tcPr>
          <w:p>
            <w:pPr>
              <w:jc w:val="center"/>
              <w:rPr>
                <w:rFonts w:ascii="黑体" w:eastAsia="黑体"/>
                <w:color w:val="000000"/>
              </w:rPr>
            </w:pPr>
            <w:r>
              <w:rPr>
                <w:rFonts w:hint="eastAsia" w:ascii="黑体" w:eastAsia="黑体"/>
                <w:color w:val="000000"/>
              </w:rPr>
              <w:t>费用项目</w:t>
            </w:r>
          </w:p>
        </w:tc>
        <w:tc>
          <w:tcPr>
            <w:tcW w:w="2693" w:type="dxa"/>
            <w:shd w:val="clear" w:color="auto" w:fill="auto"/>
          </w:tcPr>
          <w:p>
            <w:pPr>
              <w:jc w:val="center"/>
              <w:rPr>
                <w:rFonts w:ascii="黑体" w:eastAsia="黑体"/>
                <w:color w:val="000000"/>
              </w:rPr>
            </w:pPr>
            <w:r>
              <w:rPr>
                <w:rFonts w:hint="eastAsia" w:ascii="黑体" w:eastAsia="黑体"/>
                <w:color w:val="000000"/>
              </w:rPr>
              <w:t>费用明细</w:t>
            </w:r>
          </w:p>
        </w:tc>
        <w:tc>
          <w:tcPr>
            <w:tcW w:w="1472" w:type="dxa"/>
            <w:shd w:val="clear" w:color="auto" w:fill="auto"/>
          </w:tcPr>
          <w:p>
            <w:pPr>
              <w:jc w:val="center"/>
              <w:rPr>
                <w:rFonts w:ascii="黑体" w:eastAsia="黑体"/>
                <w:color w:val="000000"/>
              </w:rPr>
            </w:pPr>
            <w:r>
              <w:rPr>
                <w:rFonts w:hint="eastAsia" w:ascii="黑体" w:eastAsia="黑体"/>
                <w:color w:val="000000"/>
              </w:rPr>
              <w:t>发票时间</w:t>
            </w:r>
          </w:p>
        </w:tc>
        <w:tc>
          <w:tcPr>
            <w:tcW w:w="1363" w:type="dxa"/>
            <w:shd w:val="clear" w:color="auto" w:fill="auto"/>
          </w:tcPr>
          <w:p>
            <w:pPr>
              <w:jc w:val="center"/>
              <w:rPr>
                <w:rFonts w:ascii="黑体" w:eastAsia="黑体"/>
                <w:color w:val="000000"/>
              </w:rPr>
            </w:pPr>
            <w:r>
              <w:rPr>
                <w:rFonts w:hint="eastAsia" w:ascii="黑体" w:eastAsia="黑体"/>
                <w:color w:val="000000"/>
              </w:rPr>
              <w:t>发票号</w:t>
            </w:r>
          </w:p>
        </w:tc>
        <w:tc>
          <w:tcPr>
            <w:tcW w:w="1417" w:type="dxa"/>
            <w:shd w:val="clear" w:color="auto" w:fill="auto"/>
          </w:tcPr>
          <w:p>
            <w:pPr>
              <w:jc w:val="center"/>
              <w:rPr>
                <w:rFonts w:ascii="黑体" w:eastAsia="黑体"/>
                <w:color w:val="000000"/>
              </w:rPr>
            </w:pPr>
            <w:r>
              <w:rPr>
                <w:rFonts w:hint="eastAsia" w:ascii="黑体" w:eastAsia="黑体"/>
                <w:color w:val="000000"/>
              </w:rPr>
              <w:t>发票金额</w:t>
            </w:r>
          </w:p>
        </w:tc>
        <w:tc>
          <w:tcPr>
            <w:tcW w:w="4253" w:type="dxa"/>
            <w:shd w:val="clear" w:color="auto" w:fill="auto"/>
          </w:tcPr>
          <w:p>
            <w:pPr>
              <w:jc w:val="center"/>
              <w:rPr>
                <w:rFonts w:ascii="黑体" w:eastAsia="黑体"/>
                <w:color w:val="000000"/>
              </w:rPr>
            </w:pPr>
            <w:r>
              <w:rPr>
                <w:rFonts w:hint="eastAsia" w:ascii="黑体" w:eastAsia="黑体"/>
                <w:color w:val="000000"/>
              </w:rPr>
              <w:t>合同名称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auto"/>
          </w:tcPr>
          <w:p>
            <w:pPr>
              <w:rPr>
                <w:color w:val="000000"/>
              </w:rPr>
            </w:pPr>
          </w:p>
        </w:tc>
        <w:tc>
          <w:tcPr>
            <w:tcW w:w="2065" w:type="dxa"/>
            <w:shd w:val="clear" w:color="auto" w:fill="auto"/>
          </w:tcPr>
          <w:p>
            <w:pPr>
              <w:rPr>
                <w:color w:val="000000"/>
              </w:rPr>
            </w:pPr>
          </w:p>
        </w:tc>
        <w:tc>
          <w:tcPr>
            <w:tcW w:w="2693" w:type="dxa"/>
            <w:shd w:val="clear" w:color="auto" w:fill="auto"/>
          </w:tcPr>
          <w:p>
            <w:pPr>
              <w:rPr>
                <w:color w:val="000000"/>
              </w:rPr>
            </w:pPr>
          </w:p>
        </w:tc>
        <w:tc>
          <w:tcPr>
            <w:tcW w:w="1472" w:type="dxa"/>
            <w:shd w:val="clear" w:color="auto" w:fill="auto"/>
          </w:tcPr>
          <w:p>
            <w:pPr>
              <w:rPr>
                <w:color w:val="000000"/>
              </w:rPr>
            </w:pPr>
          </w:p>
        </w:tc>
        <w:tc>
          <w:tcPr>
            <w:tcW w:w="1363" w:type="dxa"/>
            <w:shd w:val="clear" w:color="auto" w:fill="auto"/>
          </w:tcPr>
          <w:p>
            <w:pPr>
              <w:rPr>
                <w:color w:val="000000"/>
              </w:rPr>
            </w:pPr>
          </w:p>
        </w:tc>
        <w:tc>
          <w:tcPr>
            <w:tcW w:w="1417" w:type="dxa"/>
            <w:shd w:val="clear" w:color="auto" w:fill="auto"/>
          </w:tcPr>
          <w:p>
            <w:pPr>
              <w:rPr>
                <w:color w:val="000000"/>
              </w:rPr>
            </w:pPr>
          </w:p>
        </w:tc>
        <w:tc>
          <w:tcPr>
            <w:tcW w:w="4253" w:type="dxa"/>
            <w:shd w:val="clear" w:color="auto" w:fill="auto"/>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gridSpan w:val="5"/>
            <w:shd w:val="clear" w:color="auto" w:fill="auto"/>
          </w:tcPr>
          <w:p>
            <w:pPr>
              <w:jc w:val="center"/>
              <w:rPr>
                <w:color w:val="000000"/>
              </w:rPr>
            </w:pPr>
            <w:r>
              <w:rPr>
                <w:rFonts w:hint="eastAsia"/>
                <w:color w:val="000000"/>
              </w:rPr>
              <w:t>金额合计</w:t>
            </w:r>
          </w:p>
        </w:tc>
        <w:tc>
          <w:tcPr>
            <w:tcW w:w="1417" w:type="dxa"/>
            <w:shd w:val="clear" w:color="auto" w:fill="auto"/>
          </w:tcPr>
          <w:p>
            <w:pPr>
              <w:rPr>
                <w:color w:val="000000"/>
              </w:rPr>
            </w:pPr>
          </w:p>
        </w:tc>
        <w:tc>
          <w:tcPr>
            <w:tcW w:w="4253" w:type="dxa"/>
            <w:shd w:val="clear" w:color="auto" w:fill="auto"/>
          </w:tcPr>
          <w:p>
            <w:pPr>
              <w:rPr>
                <w:color w:val="000000"/>
              </w:rPr>
            </w:pPr>
          </w:p>
        </w:tc>
      </w:tr>
    </w:tbl>
    <w:p>
      <w:pPr>
        <w:spacing w:line="580" w:lineRule="exact"/>
        <w:rPr>
          <w:rFonts w:ascii="仿宋_GB2312" w:eastAsia="仿宋_GB2312"/>
          <w:color w:val="000000"/>
          <w:sz w:val="32"/>
          <w:szCs w:val="32"/>
        </w:rPr>
      </w:pPr>
      <w:r>
        <w:rPr>
          <w:rFonts w:hint="eastAsia" w:ascii="宋体" w:hAnsi="宋体"/>
          <w:color w:val="000000"/>
          <w:szCs w:val="21"/>
        </w:rPr>
        <w:t>说明：以上表格请按费用发生的时间先后顺序填写，并将附件证明材料按对应顺序整理编号。其中“费用项目”请填写费用对应上市阶段，如股改期费用、辅导期费用；“费用明细”请填写费用具体用途，如券商保荐费用、法律顾问费用、会计师审计费用等；发票及金额信息请按照发票实际内容填写</w:t>
      </w:r>
    </w:p>
    <w:sectPr>
      <w:pgSz w:w="16838" w:h="11906" w:orient="landscape"/>
      <w:pgMar w:top="1440" w:right="1361" w:bottom="1440"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DJhMWIxZWEzZmIzZGQ1NTVhMjU5YjA4YTA1MWEifQ=="/>
  </w:docVars>
  <w:rsids>
    <w:rsidRoot w:val="00172A27"/>
    <w:rsid w:val="00001256"/>
    <w:rsid w:val="000126B5"/>
    <w:rsid w:val="00016FC8"/>
    <w:rsid w:val="00036691"/>
    <w:rsid w:val="0004174C"/>
    <w:rsid w:val="00041F59"/>
    <w:rsid w:val="0004502A"/>
    <w:rsid w:val="0007313F"/>
    <w:rsid w:val="000775B0"/>
    <w:rsid w:val="00093DFE"/>
    <w:rsid w:val="00097A28"/>
    <w:rsid w:val="000C1BC7"/>
    <w:rsid w:val="000C30A6"/>
    <w:rsid w:val="000C5C90"/>
    <w:rsid w:val="000D11D6"/>
    <w:rsid w:val="000D407D"/>
    <w:rsid w:val="000D5140"/>
    <w:rsid w:val="000D59D9"/>
    <w:rsid w:val="000F176E"/>
    <w:rsid w:val="00100DBA"/>
    <w:rsid w:val="001038D2"/>
    <w:rsid w:val="0012518B"/>
    <w:rsid w:val="00141269"/>
    <w:rsid w:val="00147FFE"/>
    <w:rsid w:val="00152A2F"/>
    <w:rsid w:val="00155022"/>
    <w:rsid w:val="00170EAC"/>
    <w:rsid w:val="00172A27"/>
    <w:rsid w:val="00183694"/>
    <w:rsid w:val="001874F8"/>
    <w:rsid w:val="001A0E35"/>
    <w:rsid w:val="001B01E5"/>
    <w:rsid w:val="001B21FB"/>
    <w:rsid w:val="001B4BD1"/>
    <w:rsid w:val="001D1ECF"/>
    <w:rsid w:val="001F17B3"/>
    <w:rsid w:val="001F6E84"/>
    <w:rsid w:val="002002A6"/>
    <w:rsid w:val="00203898"/>
    <w:rsid w:val="002125CD"/>
    <w:rsid w:val="002157B4"/>
    <w:rsid w:val="00240F47"/>
    <w:rsid w:val="00263A7A"/>
    <w:rsid w:val="00276CCA"/>
    <w:rsid w:val="00281306"/>
    <w:rsid w:val="00287861"/>
    <w:rsid w:val="002B0EA6"/>
    <w:rsid w:val="002F2D85"/>
    <w:rsid w:val="00305BD6"/>
    <w:rsid w:val="00310E51"/>
    <w:rsid w:val="00315F5E"/>
    <w:rsid w:val="00316B51"/>
    <w:rsid w:val="00323AD1"/>
    <w:rsid w:val="0033195D"/>
    <w:rsid w:val="00343A10"/>
    <w:rsid w:val="00346E4F"/>
    <w:rsid w:val="00353472"/>
    <w:rsid w:val="0036202B"/>
    <w:rsid w:val="00364331"/>
    <w:rsid w:val="003C22E6"/>
    <w:rsid w:val="003E02E8"/>
    <w:rsid w:val="003E4D01"/>
    <w:rsid w:val="003E5BE3"/>
    <w:rsid w:val="003E7EFD"/>
    <w:rsid w:val="003F027D"/>
    <w:rsid w:val="003F6569"/>
    <w:rsid w:val="003F6C8D"/>
    <w:rsid w:val="004025C0"/>
    <w:rsid w:val="00405F27"/>
    <w:rsid w:val="00410363"/>
    <w:rsid w:val="004232A3"/>
    <w:rsid w:val="00435023"/>
    <w:rsid w:val="0044028A"/>
    <w:rsid w:val="00451792"/>
    <w:rsid w:val="0047148C"/>
    <w:rsid w:val="00472B9B"/>
    <w:rsid w:val="00482CDF"/>
    <w:rsid w:val="004A2F65"/>
    <w:rsid w:val="004A6EAE"/>
    <w:rsid w:val="004A7BFA"/>
    <w:rsid w:val="004B697F"/>
    <w:rsid w:val="004D1A21"/>
    <w:rsid w:val="004E060B"/>
    <w:rsid w:val="004F7D7A"/>
    <w:rsid w:val="005174DE"/>
    <w:rsid w:val="0052561F"/>
    <w:rsid w:val="00527EAD"/>
    <w:rsid w:val="005660F5"/>
    <w:rsid w:val="005719D8"/>
    <w:rsid w:val="005842F2"/>
    <w:rsid w:val="00586EB6"/>
    <w:rsid w:val="0059428B"/>
    <w:rsid w:val="005A5FD2"/>
    <w:rsid w:val="005B0BB5"/>
    <w:rsid w:val="005C1167"/>
    <w:rsid w:val="005D3F77"/>
    <w:rsid w:val="005D46FF"/>
    <w:rsid w:val="005E157C"/>
    <w:rsid w:val="00603BDE"/>
    <w:rsid w:val="00603DEE"/>
    <w:rsid w:val="006073EB"/>
    <w:rsid w:val="00627ABF"/>
    <w:rsid w:val="00654D21"/>
    <w:rsid w:val="00675FA5"/>
    <w:rsid w:val="0068310C"/>
    <w:rsid w:val="00685A1C"/>
    <w:rsid w:val="006B5834"/>
    <w:rsid w:val="006C6184"/>
    <w:rsid w:val="006E34D5"/>
    <w:rsid w:val="006F391F"/>
    <w:rsid w:val="006F4588"/>
    <w:rsid w:val="00704AA6"/>
    <w:rsid w:val="0072633A"/>
    <w:rsid w:val="007334B1"/>
    <w:rsid w:val="007350D5"/>
    <w:rsid w:val="00741D80"/>
    <w:rsid w:val="007424BC"/>
    <w:rsid w:val="007702FF"/>
    <w:rsid w:val="007722AC"/>
    <w:rsid w:val="0077275F"/>
    <w:rsid w:val="007A57BA"/>
    <w:rsid w:val="007A5E69"/>
    <w:rsid w:val="007B6A4B"/>
    <w:rsid w:val="007E2D12"/>
    <w:rsid w:val="007F740C"/>
    <w:rsid w:val="00807B72"/>
    <w:rsid w:val="0081092C"/>
    <w:rsid w:val="00815E75"/>
    <w:rsid w:val="00815F08"/>
    <w:rsid w:val="008320CC"/>
    <w:rsid w:val="00841696"/>
    <w:rsid w:val="0086337E"/>
    <w:rsid w:val="0088652C"/>
    <w:rsid w:val="008A0A8B"/>
    <w:rsid w:val="008B692C"/>
    <w:rsid w:val="008C73D6"/>
    <w:rsid w:val="008C75A1"/>
    <w:rsid w:val="008C77C0"/>
    <w:rsid w:val="008D6FCB"/>
    <w:rsid w:val="008E093E"/>
    <w:rsid w:val="008E1BEE"/>
    <w:rsid w:val="008E38B7"/>
    <w:rsid w:val="00920B47"/>
    <w:rsid w:val="00923B66"/>
    <w:rsid w:val="0092418D"/>
    <w:rsid w:val="00937467"/>
    <w:rsid w:val="009450B4"/>
    <w:rsid w:val="00947FDB"/>
    <w:rsid w:val="00952E4E"/>
    <w:rsid w:val="009601DF"/>
    <w:rsid w:val="00964832"/>
    <w:rsid w:val="009806F6"/>
    <w:rsid w:val="00984E33"/>
    <w:rsid w:val="009A6974"/>
    <w:rsid w:val="009D0ED1"/>
    <w:rsid w:val="009E12C4"/>
    <w:rsid w:val="00A06596"/>
    <w:rsid w:val="00A17CBB"/>
    <w:rsid w:val="00A42AE6"/>
    <w:rsid w:val="00A43C64"/>
    <w:rsid w:val="00A50CDF"/>
    <w:rsid w:val="00A75670"/>
    <w:rsid w:val="00A77B7B"/>
    <w:rsid w:val="00A85CB8"/>
    <w:rsid w:val="00A911D3"/>
    <w:rsid w:val="00A91C37"/>
    <w:rsid w:val="00A952C7"/>
    <w:rsid w:val="00A96B48"/>
    <w:rsid w:val="00AA05BA"/>
    <w:rsid w:val="00AA2441"/>
    <w:rsid w:val="00AC0933"/>
    <w:rsid w:val="00AE4F20"/>
    <w:rsid w:val="00AF0170"/>
    <w:rsid w:val="00B21717"/>
    <w:rsid w:val="00B53DA4"/>
    <w:rsid w:val="00B56440"/>
    <w:rsid w:val="00B60EDF"/>
    <w:rsid w:val="00B61D4D"/>
    <w:rsid w:val="00B724D6"/>
    <w:rsid w:val="00B94D26"/>
    <w:rsid w:val="00B957C7"/>
    <w:rsid w:val="00BB15B9"/>
    <w:rsid w:val="00BB537C"/>
    <w:rsid w:val="00BB7E4E"/>
    <w:rsid w:val="00BC1A34"/>
    <w:rsid w:val="00BC42CE"/>
    <w:rsid w:val="00BC6F03"/>
    <w:rsid w:val="00BD2B0D"/>
    <w:rsid w:val="00C0322E"/>
    <w:rsid w:val="00C30CB6"/>
    <w:rsid w:val="00C36516"/>
    <w:rsid w:val="00C43F4A"/>
    <w:rsid w:val="00C51700"/>
    <w:rsid w:val="00C821ED"/>
    <w:rsid w:val="00C922E6"/>
    <w:rsid w:val="00C974D1"/>
    <w:rsid w:val="00CC0527"/>
    <w:rsid w:val="00CE2360"/>
    <w:rsid w:val="00CF065B"/>
    <w:rsid w:val="00D1111F"/>
    <w:rsid w:val="00D13549"/>
    <w:rsid w:val="00D17BA2"/>
    <w:rsid w:val="00D20977"/>
    <w:rsid w:val="00D238CE"/>
    <w:rsid w:val="00D24F2F"/>
    <w:rsid w:val="00D32EB3"/>
    <w:rsid w:val="00D43A74"/>
    <w:rsid w:val="00D47BC3"/>
    <w:rsid w:val="00D649A3"/>
    <w:rsid w:val="00D74C9C"/>
    <w:rsid w:val="00D75500"/>
    <w:rsid w:val="00D854D7"/>
    <w:rsid w:val="00D905E0"/>
    <w:rsid w:val="00D91F1D"/>
    <w:rsid w:val="00DC5D39"/>
    <w:rsid w:val="00DC770F"/>
    <w:rsid w:val="00DC7B25"/>
    <w:rsid w:val="00DD056F"/>
    <w:rsid w:val="00DD7128"/>
    <w:rsid w:val="00DE611E"/>
    <w:rsid w:val="00DF67E6"/>
    <w:rsid w:val="00E00E03"/>
    <w:rsid w:val="00E04F31"/>
    <w:rsid w:val="00E265C5"/>
    <w:rsid w:val="00E52B7B"/>
    <w:rsid w:val="00E708C2"/>
    <w:rsid w:val="00E76A57"/>
    <w:rsid w:val="00E90F2E"/>
    <w:rsid w:val="00EA6DF3"/>
    <w:rsid w:val="00EB34C1"/>
    <w:rsid w:val="00EC5F9C"/>
    <w:rsid w:val="00ED0D42"/>
    <w:rsid w:val="00ED1AA0"/>
    <w:rsid w:val="00EE0B6D"/>
    <w:rsid w:val="00EE7670"/>
    <w:rsid w:val="00EF38BB"/>
    <w:rsid w:val="00F0086C"/>
    <w:rsid w:val="00F200F8"/>
    <w:rsid w:val="00F21F61"/>
    <w:rsid w:val="00F26EFC"/>
    <w:rsid w:val="00F30D4F"/>
    <w:rsid w:val="00F3218B"/>
    <w:rsid w:val="00F4240F"/>
    <w:rsid w:val="00F66B2F"/>
    <w:rsid w:val="00F71428"/>
    <w:rsid w:val="00FD3EF1"/>
    <w:rsid w:val="00FD79C4"/>
    <w:rsid w:val="00FE058C"/>
    <w:rsid w:val="00FE7B71"/>
    <w:rsid w:val="03233020"/>
    <w:rsid w:val="14D87F64"/>
    <w:rsid w:val="16977A87"/>
    <w:rsid w:val="21DD3C96"/>
    <w:rsid w:val="23813608"/>
    <w:rsid w:val="34152101"/>
    <w:rsid w:val="3BC35595"/>
    <w:rsid w:val="3E956D9A"/>
    <w:rsid w:val="3FD94955"/>
    <w:rsid w:val="405C14A4"/>
    <w:rsid w:val="495F5E27"/>
    <w:rsid w:val="55194B75"/>
    <w:rsid w:val="66212C60"/>
    <w:rsid w:val="6F993D91"/>
    <w:rsid w:val="71AD13F0"/>
    <w:rsid w:val="73690737"/>
    <w:rsid w:val="7E64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semiHidden/>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semiHidden/>
    <w:qFormat/>
    <w:uiPriority w:val="0"/>
    <w:rPr>
      <w:sz w:val="21"/>
      <w:szCs w:val="21"/>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Char Char Char"/>
    <w:basedOn w:val="1"/>
    <w:qFormat/>
    <w:uiPriority w:val="0"/>
  </w:style>
  <w:style w:type="paragraph" w:customStyle="1" w:styleId="16">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
    <w:name w:val="默认段落字体 Para Char Char"/>
    <w:basedOn w:val="1"/>
    <w:qFormat/>
    <w:uiPriority w:val="0"/>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3799</Words>
  <Characters>3880</Characters>
  <Lines>26</Lines>
  <Paragraphs>7</Paragraphs>
  <TotalTime>10</TotalTime>
  <ScaleCrop>false</ScaleCrop>
  <LinksUpToDate>false</LinksUpToDate>
  <CharactersWithSpaces>3888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2019-09-18T13:14:00Z</dcterms:created>
  <dc:creator>User</dc:creator>
  <cp:lastModifiedBy>Lw.#</cp:lastModifiedBy>
  <cp:lastPrinted>2022-09-15T07:07:00Z</cp:lastPrinted>
  <dcterms:modified xsi:type="dcterms:W3CDTF">2022-10-11T06:28:29Z</dcterms:modified>
  <dc:title>第一章</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1D17F26636DD4A5A8E36B5665F73A646</vt:lpwstr>
  </property>
</Properties>
</file>