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Lines="200" w:beforeAutospacing="0" w:afterLines="100" w:afterAutospacing="0" w:line="5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深圳市版权创新发展基地培育资助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申报指南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深圳市版权创新发展基地培育资助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设定依据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深市监规〔2020〕3号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（二）《深圳市市场监督管理局知识产权领域专项资金操作规程》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深市监规〔2022〕10号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</w:t>
      </w:r>
      <w:r>
        <w:rPr>
          <w:rFonts w:hint="eastAsia" w:ascii="黑体" w:hAnsi="黑体" w:eastAsia="黑体"/>
          <w:sz w:val="32"/>
          <w:szCs w:val="32"/>
          <w:lang w:eastAsia="zh-CN"/>
        </w:rPr>
        <w:t>标准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支持深圳市版权产业发展，开展深圳市版权创新发展基地培育建设，每年评选不超过5家，每家一次性资助20万元。已获评深圳市知识产权优势单位或广东省版权兴业示范基地的，不重复资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助。本条与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程第十一条（</w:t>
      </w:r>
      <w:r>
        <w:rPr>
          <w:rFonts w:hint="eastAsia" w:ascii="仿宋_GB2312" w:hAnsi="华文中宋" w:eastAsia="仿宋_GB2312" w:cs="黑体"/>
          <w:bCs/>
          <w:sz w:val="32"/>
          <w:szCs w:val="32"/>
        </w:rPr>
        <w:t>深圳市知识产权优势单位资助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）规定的资助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不可同时申报。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申请人应当同时符合下列条件：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（一）深圳市版权创新发展基地培育工作载体企业，具有独立法人资格，注册时间3年以上且经营状况良好，上年度版权相关产业经营状况良好，产生了较好的经济效益；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（二）在深圳市从事生产经营活动，在深圳市拥有稳定办公场所；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（三）有健全的版权保护制度，配备负责版权工作的专职或者兼职主办人员，有较为完善的版权保护机制，在全市具有推广价值；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（四）具有自主创新能力，注重版权的创造、运用、保护和管理，在作品的创作、传播、使用领域具有示范效应，版权登记总量不低于100件，上年度版权登记量同比增长不低于10%；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（五）遵纪守法、诚信经营，不生产、不传播、不使用侵权制品，承诺软件正版化率达100%，无恶意侵权盗版行为。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申请人存在下列情形之一的，不予资助：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（一）不符合相关法律法规、专项资金管理办法、专项资金操作规程有关要求的；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（二）经查询深圳市信用网，依法依规被纳入严重失信主体名单的；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）所申请项目已经获得市级同类资助或者奖励的；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）申请人主体已经消亡，或者进入破产清算程序的。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在申报系统上在线填写项目申报信息。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申请人主体资格材料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申请人</w:t>
      </w:r>
      <w:r>
        <w:rPr>
          <w:rFonts w:hint="default" w:ascii="仿宋_GB2312" w:eastAsia="仿宋_GB2312"/>
          <w:sz w:val="32"/>
          <w:szCs w:val="32"/>
          <w:highlight w:val="none"/>
        </w:rPr>
        <w:t>应当在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深圳市从事生产经营活动，在深圳市拥有稳定办公场所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根据单位性质提交事业单位法人证书、民办非企业单位登记证书等主体资格材料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企业申请人无须提交营业执照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left="17" w:leftChars="8" w:firstLine="620" w:firstLineChars="19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申请人自行申报的</w:t>
      </w:r>
      <w:r>
        <w:rPr>
          <w:rFonts w:hint="default" w:ascii="仿宋_GB2312" w:eastAsia="仿宋_GB2312"/>
          <w:sz w:val="32"/>
          <w:szCs w:val="32"/>
          <w:highlight w:val="none"/>
        </w:rPr>
        <w:t>或者</w:t>
      </w:r>
      <w:r>
        <w:rPr>
          <w:rFonts w:hint="eastAsia" w:ascii="仿宋_GB2312" w:eastAsia="仿宋_GB2312"/>
          <w:sz w:val="32"/>
          <w:szCs w:val="32"/>
          <w:highlight w:val="none"/>
        </w:rPr>
        <w:t>委托代办机构申报的，需提交《申报项目委托情况申明》</w:t>
      </w:r>
      <w:r>
        <w:rPr>
          <w:rFonts w:hint="default" w:ascii="仿宋_GB2312" w:eastAsia="仿宋_GB2312"/>
          <w:sz w:val="32"/>
          <w:szCs w:val="32"/>
          <w:highlight w:val="none"/>
        </w:rPr>
        <w:t>（参照系统模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板）及经办人相关资料。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版权保护及管理制度、负责版权工作的专职或者兼职主办人员的相关材料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版权</w:t>
      </w:r>
      <w:r>
        <w:rPr>
          <w:rFonts w:hint="eastAsia" w:ascii="仿宋_GB2312" w:eastAsia="仿宋_GB2312"/>
          <w:sz w:val="32"/>
          <w:szCs w:val="32"/>
          <w:lang w:eastAsia="zh-CN"/>
        </w:rPr>
        <w:t>保护及</w:t>
      </w:r>
      <w:r>
        <w:rPr>
          <w:rFonts w:hint="eastAsia" w:ascii="仿宋_GB2312" w:eastAsia="仿宋_GB2312"/>
          <w:sz w:val="32"/>
          <w:szCs w:val="32"/>
        </w:rPr>
        <w:t>管理制度相关材料可以包括但不限于：版权管理机构工作制度（含版权日常管理职责设定情况等）、版权管理机构设立情况与组织机构图、版权资产管理制度、版权保护工作制度（机制）、版权宣传培训制度、版权创新激励制度、软件正版化管理制度、版权业务发展规划或目标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负责版权工作的专职或者兼职主办人员相关材料包括：版权管理人员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sz w:val="32"/>
          <w:szCs w:val="32"/>
        </w:rPr>
        <w:t>（参照系统模板）、每位负责版权工作的专职或者兼职主办人员的学历或学位证</w:t>
      </w: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</w:rPr>
        <w:t>、职称</w:t>
      </w:r>
      <w:r>
        <w:rPr>
          <w:rFonts w:hint="eastAsia" w:ascii="仿宋_GB2312" w:eastAsia="仿宋_GB2312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（如有）、近3个月</w:t>
      </w:r>
      <w:r>
        <w:rPr>
          <w:rFonts w:hint="default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2023年1月-2023年3月</w:t>
      </w:r>
      <w:r>
        <w:rPr>
          <w:rFonts w:hint="default" w:ascii="仿宋_GB2312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社保缴纳费用明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细表（社保缴纳单位为资助申请人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兼职人员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需提供与申请人签订的相应劳动合同或劳动协议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版权登记证书及清单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1.提交《申报声明》（系统模板），如实填报申请人的版权登记总量；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2.提交20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1年度、20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2年度版权登记清单（系统模板），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并附相应版权登记证书。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版权创造、运用、保护和管理，以及在作品创作、传播、使用领域具有示范效应的相关材料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1.版权保护工作材料：版权维权有关司法判决、行政裁决、仲裁裁决、纠纷调解等有关案例的生效法律文书和相关材料；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2.版权运用工作材料：版权交易、质押贷款等有关版权运用工作的佐证材料；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3.版权获奖情况相关佐证材料：作品获得国际级、国家级、省级或者市级有关版权奖项或认定佐证材料；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4.在作品创作、传播、使用领域具有示范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效应材料。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软件正版化率达100%的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守法经营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承诺书及相关材料</w:t>
      </w:r>
    </w:p>
    <w:p>
      <w:pPr>
        <w:snapToGrid w:val="0"/>
        <w:spacing w:line="560" w:lineRule="exact"/>
        <w:ind w:lef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1.提交《正版化承诺书》（系统模板）及提供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对应的佐证材料，包括但不限于生产、销售、传播、使用正版产品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佐证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材料；</w:t>
      </w:r>
    </w:p>
    <w:p>
      <w:pPr>
        <w:ind w:leftChars="0"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2.提交近三年（2020-2022年）无生产、销售、传播、使用侵权盗版产品（作品）行为相关记录的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承诺书。</w:t>
      </w:r>
    </w:p>
    <w:p>
      <w:pPr>
        <w:pStyle w:val="6"/>
        <w:numPr>
          <w:ilvl w:val="0"/>
          <w:numId w:val="2"/>
        </w:numPr>
        <w:snapToGrid w:val="0"/>
        <w:spacing w:line="560" w:lineRule="exact"/>
        <w:ind w:left="0" w:firstLine="643"/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年度版权相关产业经营状况良好，产生了较好的经济效益的相关材料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提交2022年年度财务审计报告或2022年年度财务报表，内容包括销售收入、净利润、版权营业收入、版权相关产品或服务的净利润、版权工作年度投入经费等。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以上第（一）至第（七）项全部申请材料应当确保页面文字、公章、签名等实质性内容清晰可辨，各页面主要内容均为正向，不可横置或倒置。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eastAsia="仿宋_GB2312"/>
          <w:color w:val="auto"/>
          <w:sz w:val="32"/>
          <w:szCs w:val="32"/>
        </w:rPr>
        <w:t>至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color w:val="auto"/>
          <w:sz w:val="32"/>
          <w:szCs w:val="32"/>
        </w:rPr>
        <w:t>18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  <w:r>
        <w:rPr>
          <w:rFonts w:ascii="仿宋_GB2312" w:eastAsia="仿宋_GB2312"/>
          <w:sz w:val="32"/>
          <w:szCs w:val="32"/>
        </w:rPr>
        <w:t>00截止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本次资助实行网上在线申报，申报系统网址为： 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https://amr.sz.gov.cn/mrasgas/sfc-company/#/apply/check-info?itemId=MB2C927393442125181001440300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建议使用360（极速模式）、火狐等浏览器软件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登录申报系统后，选择办理情形“深圳市版权创新发展基地培育资助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”，阅读并勾选同意《广东省网上办事大厅服务条款》内容，点击“下一步”进入申报；或者，登录广东政务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网，在“切换区域”和“部门”分别选择“深圳市”和“市场监督管理局”，点击“公共服务”，找到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深圳市版权创新发展基地培育资助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）”</w:t>
      </w:r>
      <w:r>
        <w:rPr>
          <w:rFonts w:hint="eastAsia" w:ascii="仿宋_GB2312" w:eastAsia="仿宋_GB2312"/>
          <w:sz w:val="32"/>
          <w:szCs w:val="32"/>
        </w:rPr>
        <w:t>，或者直接搜索“深圳市版权创新发展基地培育资助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”，选中后进入申报页面。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申报系统技术支持电话：0755-23602720。申报业务咨询电话：0755-83070173、0755-83070752。办公时间：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星期一至星期五（法定节假日除外）上午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</w:t>
      </w:r>
      <w:r>
        <w:rPr>
          <w:rFonts w:hint="eastAsia" w:ascii="仿宋_GB2312" w:eastAsia="仿宋_GB2312"/>
          <w:sz w:val="32"/>
          <w:lang w:eastAsia="zh-CN"/>
        </w:rPr>
        <w:t>含</w:t>
      </w:r>
      <w:r>
        <w:rPr>
          <w:rFonts w:hint="default" w:ascii="仿宋_GB2312" w:eastAsia="仿宋_GB2312"/>
          <w:sz w:val="32"/>
          <w:lang w:eastAsia="zh-CN"/>
        </w:rPr>
        <w:t>根据工作需要开展的进一步</w:t>
      </w:r>
      <w:r>
        <w:rPr>
          <w:rFonts w:hint="eastAsia" w:ascii="仿宋_GB2312" w:eastAsia="仿宋_GB2312"/>
          <w:sz w:val="32"/>
        </w:rPr>
        <w:t>实地考察）——</w:t>
      </w:r>
      <w:r>
        <w:rPr>
          <w:rFonts w:hint="default" w:ascii="仿宋_GB2312" w:eastAsia="仿宋_GB2312"/>
          <w:sz w:val="32"/>
        </w:rPr>
        <w:t>会同</w:t>
      </w:r>
      <w:r>
        <w:rPr>
          <w:rFonts w:hint="eastAsia" w:ascii="仿宋_GB2312" w:eastAsia="仿宋_GB2312"/>
          <w:sz w:val="32"/>
        </w:rPr>
        <w:t>相关部门核对数据、核查诚信情况</w:t>
      </w:r>
      <w:r>
        <w:rPr>
          <w:rFonts w:hint="default" w:ascii="仿宋_GB2312" w:eastAsia="仿宋_GB2312"/>
          <w:sz w:val="32"/>
        </w:rPr>
        <w:t>和重复资助情况</w:t>
      </w:r>
      <w:r>
        <w:rPr>
          <w:rFonts w:hint="eastAsia" w:ascii="仿宋_GB2312" w:eastAsia="仿宋_GB2312"/>
          <w:sz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集体研究决策</w:t>
      </w:r>
      <w:r>
        <w:rPr>
          <w:rFonts w:hint="eastAsia" w:ascii="仿宋_GB2312" w:eastAsia="仿宋_GB2312"/>
          <w:sz w:val="32"/>
        </w:rPr>
        <w:t>——公示（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——财政资金预算申请——资金拨付。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申请人需通过广东政务服务网进行申报，账户等级须达到五级（原L3级别）核验方可进行申报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</w:rPr>
        <w:t>市知识产权主管部门对申请材料进行受理和初审，申请材料不完善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，限期予以补正；申请人应按要求进行补正，未按要求补正材料或补正材料未通过审核的，不予资助或奖励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资助或奖励</w:t>
      </w:r>
      <w:r>
        <w:rPr>
          <w:rFonts w:ascii="仿宋_GB2312" w:eastAsia="仿宋_GB2312"/>
          <w:sz w:val="32"/>
          <w:szCs w:val="32"/>
        </w:rPr>
        <w:t>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合规提示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《深圳市市场监督管理局知识产权领域专项资金操作规程》第四十条规定：申请人应对提交的申请材料真实性、合法性、有效性负责。申请人利用虚假材料或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b w:val="0"/>
          <w:sz w:val="32"/>
          <w:szCs w:val="32"/>
        </w:rPr>
        <w:t>其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</w:rPr>
        <w:t>不正当行为骗取、套取、虚报、冒领、截留、挪用专项资金或者违反其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他</w:t>
      </w:r>
      <w:r>
        <w:rPr>
          <w:rFonts w:hint="eastAsia" w:ascii="仿宋_GB2312" w:eastAsia="仿宋_GB2312"/>
          <w:b w:val="0"/>
          <w:sz w:val="32"/>
          <w:szCs w:val="32"/>
        </w:rPr>
        <w:t>财务纪律的，按照有关规定处理；情节严重的，依照国家相关法律、法规移交有关部门处理。</w:t>
      </w:r>
    </w:p>
    <w:p>
      <w:pPr>
        <w:pStyle w:val="3"/>
        <w:numPr>
          <w:ilvl w:val="0"/>
          <w:numId w:val="3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>《深圳市市场监督管理局知识产权领域专项资金操作规程》第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 w:val="0"/>
          <w:sz w:val="32"/>
          <w:szCs w:val="32"/>
        </w:rPr>
        <w:t>十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一</w:t>
      </w:r>
      <w:r>
        <w:rPr>
          <w:rFonts w:ascii="仿宋_GB2312" w:eastAsia="仿宋_GB2312"/>
          <w:b w:val="0"/>
          <w:sz w:val="32"/>
          <w:szCs w:val="32"/>
        </w:rPr>
        <w:t>条规定：</w:t>
      </w:r>
      <w:r>
        <w:rPr>
          <w:rFonts w:hint="eastAsia" w:ascii="仿宋_GB2312" w:eastAsia="仿宋_GB2312"/>
          <w:b w:val="0"/>
          <w:sz w:val="32"/>
          <w:szCs w:val="32"/>
        </w:rPr>
        <w:t>受委托的第三方审计机构或专业机构在审计或核验过程中，存在弄虚作假、隐瞒事实真相或与受资助单位串通作弊并出具相关报告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情形的</w:t>
      </w:r>
      <w:r>
        <w:rPr>
          <w:rFonts w:hint="eastAsia" w:ascii="仿宋_GB2312" w:eastAsia="仿宋_GB2312"/>
          <w:b w:val="0"/>
          <w:sz w:val="32"/>
          <w:szCs w:val="32"/>
        </w:rPr>
        <w:t>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（三）根据上述规定，申请人申请资助时必须作出合规承诺（在申报系统中操作），否则不予受理。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6"/>
        <w:numPr>
          <w:ilvl w:val="0"/>
          <w:numId w:val="1"/>
        </w:numPr>
        <w:snapToGrid w:val="0"/>
        <w:spacing w:line="560" w:lineRule="exact"/>
        <w:ind w:left="135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无年审、年检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49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MjIwYjk4YTQxYzRkNjZiY2M4ODBmZDEzZTNiNmYifQ=="/>
  </w:docVars>
  <w:rsids>
    <w:rsidRoot w:val="DFFF10C6"/>
    <w:rsid w:val="0723450F"/>
    <w:rsid w:val="39ED3C10"/>
    <w:rsid w:val="45342834"/>
    <w:rsid w:val="7BB75966"/>
    <w:rsid w:val="DFFF10C6"/>
    <w:rsid w:val="EF7F2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2959</Words>
  <Characters>3206</Characters>
  <Lines>0</Lines>
  <Paragraphs>0</Paragraphs>
  <TotalTime>0</TotalTime>
  <ScaleCrop>false</ScaleCrop>
  <LinksUpToDate>false</LinksUpToDate>
  <CharactersWithSpaces>3208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2023-04-14T19:16:00Z</dcterms:created>
  <dc:creator>liuyt1</dc:creator>
  <cp:lastModifiedBy>WANGQW</cp:lastModifiedBy>
  <dcterms:modified xsi:type="dcterms:W3CDTF">2023-04-17T12:59:24Z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6CEA5AFDE8004163865D686BAE2D466E_12</vt:lpwstr>
  </property>
</Properties>
</file>