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ttachedToolbars.bin" ContentType="application/vnd.ms-word.attachedToolbars"/>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pPr>
        <w:snapToGrid w:val="0"/>
        <w:spacing w:line="360" w:lineRule="auto"/>
        <w:jc w:val="center"/>
        <w:rPr>
          <w:rFonts w:ascii="宋体" w:hAnsi="宋体" w:eastAsia="宋体" w:cs="宋体"/>
          <w:b/>
          <w:bCs/>
          <w:sz w:val="36"/>
          <w:szCs w:val="36"/>
        </w:rPr>
      </w:pPr>
      <w:r>
        <w:rPr>
          <w:rFonts w:hint="eastAsia" w:ascii="宋体" w:hAnsi="宋体" w:eastAsia="宋体" w:cs="宋体"/>
          <w:b/>
          <w:bCs/>
          <w:sz w:val="36"/>
          <w:szCs w:val="36"/>
        </w:rPr>
        <w:t>《多功能智能杆  信息系统安全管理</w:t>
      </w:r>
      <w:r>
        <w:rPr>
          <w:rFonts w:hint="eastAsia" w:ascii="宋体" w:hAnsi="宋体" w:eastAsia="宋体" w:cs="宋体"/>
          <w:b/>
          <w:bCs/>
          <w:sz w:val="36"/>
          <w:szCs w:val="36"/>
          <w:lang w:eastAsia="zh-CN"/>
        </w:rPr>
        <w:t>规范</w:t>
      </w:r>
      <w:r>
        <w:rPr>
          <w:rFonts w:hint="eastAsia" w:ascii="宋体" w:hAnsi="宋体" w:eastAsia="宋体" w:cs="宋体"/>
          <w:b/>
          <w:bCs/>
          <w:sz w:val="36"/>
          <w:szCs w:val="36"/>
        </w:rPr>
        <w:t>》</w:t>
      </w:r>
    </w:p>
    <w:p>
      <w:pPr>
        <w:snapToGrid w:val="0"/>
        <w:spacing w:line="360" w:lineRule="auto"/>
        <w:jc w:val="center"/>
        <w:rPr>
          <w:rFonts w:ascii="仿宋" w:hAnsi="仿宋" w:eastAsia="仿宋" w:cs="Times New Roman"/>
          <w:sz w:val="36"/>
          <w:szCs w:val="36"/>
        </w:rPr>
      </w:pPr>
      <w:r>
        <w:rPr>
          <w:rFonts w:hint="eastAsia" w:ascii="宋体" w:hAnsi="宋体" w:eastAsia="宋体" w:cs="宋体"/>
          <w:b/>
          <w:bCs/>
          <w:sz w:val="36"/>
          <w:szCs w:val="36"/>
        </w:rPr>
        <w:t>编制说明</w:t>
      </w:r>
    </w:p>
    <w:p>
      <w:pPr>
        <w:pStyle w:val="2"/>
        <w:snapToGrid w:val="0"/>
        <w:spacing w:before="0" w:beforeAutospacing="0" w:after="0" w:afterAutospacing="0" w:line="360" w:lineRule="auto"/>
        <w:rPr>
          <w:rFonts w:ascii="仿宋" w:hAnsi="仿宋" w:cs="Times New Roman"/>
          <w:sz w:val="32"/>
          <w:szCs w:val="32"/>
        </w:rPr>
      </w:pPr>
      <w:bookmarkStart w:id="0" w:name="_Toc11416287"/>
      <w:r>
        <w:rPr>
          <w:rFonts w:ascii="仿宋" w:hAnsi="仿宋" w:cs="Times New Roman"/>
          <w:sz w:val="32"/>
          <w:szCs w:val="32"/>
        </w:rPr>
        <w:t>一、</w:t>
      </w:r>
      <w:bookmarkEnd w:id="0"/>
      <w:r>
        <w:rPr>
          <w:rFonts w:hint="eastAsia" w:ascii="仿宋" w:hAnsi="仿宋" w:cs="Times New Roman"/>
          <w:sz w:val="32"/>
          <w:szCs w:val="32"/>
        </w:rPr>
        <w:t>项目背景</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“让城市更聪明一些、更智慧一些，是推进城市治理体系和治理能力现代化的必由之路，前景广阔。”习近平总书记的讲话为未来城市的发展指明了道路和方向。</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智慧城市是在物联网、云计算、大数据等新一代信息技术快速发展背景下产生的城市发展新模式，通过“更加透彻的感知、更加深入的计算和更加广泛的连接”，改变着物与物之间、人与物之间的联系方式，改变着我们的生存环境，也深刻改变着人类的思维方式和生活模式。</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多功能智能杆作为新基建的重要组成和智慧城市建设的入口，也是未来承载5G基站布点的载体，它通过深度整合城市各类资源，实现资源的共享、集约和统筹，降低城市建设成本，提升城市运维效率，将为城市治理的快速发展带来多重效益。</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2018年深圳出台《深圳市多功能智能杆建设发展行动计划（2018—2020年）》，成为国内首个政府出台的顶层行动计划。</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2019年9月，《深圳市人民政府关于印发率先实现5G基础设施全覆盖及促进5G产业高质量发展若干措施的通知》印发，要求加快推进多功智能杆建设。</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2020年 4月国家发改委明确“新基建”范围主要包括：包含以 5G、物联网为代表的信息基础设施，以大数据、人工智能等技术深度应用的融合基础设施和以支撑科学研究、技术开发等的创新基础设施。随着我国物联网新型基础设施建设的全面推进，多功智能杆的产业发展步入快车道。</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2021年我国多功能智能杆建设的最大特点，是从北上广深延伸到了全国各地，2021年度共有28个省（自治区、直辖市）新增了多功能智能杆建设项目，新增项目总量达到350个，新增多功能智能杆拟建数量达到12.8万根。</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多功能智能杆包括杆体及其搭载的感知终端（各类设备和传感器），它是集智慧照明、视频监控、交通管理、环境监测、无线通信、应急求助等多功能于一体的信息基础设施。梳理和分析多功能智能杆系统之间的数据流通路径，将系统中不同设备、软件、数据、资源、分不同重要等级进行分等级保护显得尤为重要。</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近年来，数据安全形势不容乐观，世界各国均高度重视数据安全及隐私保护，例如美国发布了《国家安全和个人数据保护法 (草案)》、《网络安全信息共享法》等，欧盟发布了《一般数据保护法案》、德国发布了《联邦数据保护法》、 英国发布了《数据保护法》等；十九届四中全会，我国首次增列“数据”作为生产要素，数据安全与国家安全息息相关。我国国家数据安全相关法律法规有《中华人民共和国网络安全法》、《中华人民共和国数据安全法》及《中华人民共和国个人信息保护法》、《数据安全管理办法》征求意见稿等；国内数据安全标准有GB/T 35273-2020《信息安全技术 个人信息安全规范》、GB/T 37988-2019《信息安全技术 数据安全能力成熟度模型》等。</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2017年6月1日正式实行的《中华人民共和国网络安全法</w:t>
      </w:r>
      <w:r>
        <w:rPr>
          <w:rFonts w:hint="default" w:ascii="仿宋" w:hAnsi="仿宋" w:eastAsia="仿宋" w:cs="仿宋"/>
          <w:sz w:val="30"/>
          <w:szCs w:val="30"/>
          <w:lang w:val="en-US" w:eastAsia="zh-CN"/>
        </w:rPr>
        <w:t>》中第二十一条明确规定：国家实行网络安全等级保护制度。网络运营者应当按照网络安全等级保护制度的要求，履行下列安全保护义务，保障网络免受干扰、破坏或者未经授权的访问，防止网络数据泄露或者被窃取、篡改。</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信息安全保障能力是21世纪综合国力、经济竞争实力和生存能力的重要组成部分，是全世界各国奋力攀登的制高点。网络信息安全问题如果解决不好，将全方位地危及我国的政治、军事、经济、文化、社会生活的各个方面，使国家处于信息战和高度经济金融风险的威胁之中。</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习近平总书记高度重视信息网络安全工作，多次提出：没有网络安全就没有国家安全，没有信息化就没有现代化； 网络安全和信息化是一体之两翼、驱动之双轮，必须统一谋划、统一部署、统一推进。</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多功能智能杆信息系统是指由计算机及其相关和配套的挂载设备、设施构成的，按照一定的应用目标和规则对信息进行存储、传输、处理的系统或者网络；信息是指在信息系统中存储、传输、处理的数字化信息。</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多功能智能杆系统信息安全是指在政府主导和社会参与下，综合运用技术、法律、管理、教育等手段，在信息空间积极应对敌对势力攻击、网络犯罪和意外事故等多种威胁，有效保护信息基础设施、信息系统、信息应用服务和信息内容的安全，为经济发展、社会稳定、国家安全、公众权益和军事斗争提供安全保障的活动。</w:t>
      </w:r>
    </w:p>
    <w:p>
      <w:pPr>
        <w:adjustRightInd w:val="0"/>
        <w:snapToGrid w:val="0"/>
        <w:spacing w:line="360" w:lineRule="auto"/>
        <w:ind w:firstLine="600" w:firstLineChars="200"/>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为适应深圳市多功能智能杆发展的新形势，满足新形势下多功智能杆对标准化发展的新需求，规范多功能智能杆建设与管理全过程中的网络安全、通讯安全、数据安全，根据《中华人民共和国网络安全法》的基本原则，结合深圳经济特区地域实际，编制地方标准《多功能智能杆 信息系统安全管理规范》十分必要。</w:t>
      </w:r>
    </w:p>
    <w:p>
      <w:pPr>
        <w:ind w:firstLine="480" w:firstLineChars="200"/>
        <w:rPr>
          <w:rFonts w:hint="eastAsia" w:ascii="仿宋_GB2312" w:hAnsi="Times New Roman" w:eastAsia="仿宋_GB2312" w:cs="Times New Roman"/>
          <w:sz w:val="24"/>
          <w:szCs w:val="24"/>
          <w:lang w:val="en-US" w:eastAsia="zh-CN"/>
        </w:rPr>
      </w:pPr>
    </w:p>
    <w:p>
      <w:pPr>
        <w:ind w:firstLine="480" w:firstLineChars="200"/>
        <w:rPr>
          <w:rFonts w:hint="eastAsia" w:ascii="仿宋_GB2312" w:hAnsi="Times New Roman" w:eastAsia="仿宋_GB2312" w:cs="Times New Roman"/>
          <w:sz w:val="24"/>
          <w:szCs w:val="24"/>
          <w:lang w:val="en-US" w:eastAsia="zh-CN"/>
        </w:rPr>
      </w:pPr>
    </w:p>
    <w:p>
      <w:pPr>
        <w:pStyle w:val="2"/>
        <w:snapToGrid w:val="0"/>
        <w:spacing w:before="0" w:beforeAutospacing="0" w:after="0" w:afterAutospacing="0" w:line="360" w:lineRule="auto"/>
        <w:rPr>
          <w:rFonts w:ascii="仿宋" w:hAnsi="仿宋" w:cs="Times New Roman"/>
          <w:sz w:val="32"/>
          <w:szCs w:val="32"/>
        </w:rPr>
      </w:pPr>
      <w:r>
        <w:rPr>
          <w:rFonts w:hint="eastAsia" w:ascii="仿宋" w:hAnsi="仿宋" w:cs="Times New Roman"/>
          <w:sz w:val="32"/>
          <w:szCs w:val="32"/>
        </w:rPr>
        <w:t>二</w:t>
      </w:r>
      <w:r>
        <w:rPr>
          <w:rFonts w:ascii="仿宋" w:hAnsi="仿宋" w:cs="Times New Roman"/>
          <w:sz w:val="32"/>
          <w:szCs w:val="32"/>
        </w:rPr>
        <w:t>、</w:t>
      </w:r>
      <w:r>
        <w:rPr>
          <w:rFonts w:hint="eastAsia" w:ascii="仿宋" w:hAnsi="仿宋" w:cs="Times New Roman"/>
          <w:sz w:val="32"/>
          <w:szCs w:val="32"/>
        </w:rPr>
        <w:t>工作简况</w:t>
      </w:r>
    </w:p>
    <w:p>
      <w:pPr>
        <w:pStyle w:val="3"/>
        <w:snapToGrid w:val="0"/>
        <w:spacing w:before="0" w:beforeAutospacing="0" w:after="0" w:afterAutospacing="0" w:line="360" w:lineRule="auto"/>
        <w:ind w:firstLine="602" w:firstLineChars="200"/>
        <w:rPr>
          <w:rFonts w:ascii="仿宋" w:hAnsi="仿宋" w:cs="仿宋"/>
          <w:sz w:val="30"/>
          <w:szCs w:val="30"/>
        </w:rPr>
      </w:pPr>
      <w:bookmarkStart w:id="1" w:name="_Toc11416288"/>
      <w:r>
        <w:rPr>
          <w:rFonts w:hint="eastAsia" w:ascii="仿宋" w:hAnsi="仿宋" w:cs="仿宋"/>
          <w:sz w:val="30"/>
          <w:szCs w:val="30"/>
        </w:rPr>
        <w:t>1、任务来源</w:t>
      </w:r>
      <w:bookmarkEnd w:id="1"/>
    </w:p>
    <w:p>
      <w:pPr>
        <w:adjustRightInd w:val="0"/>
        <w:snapToGrid w:val="0"/>
        <w:spacing w:line="360" w:lineRule="auto"/>
        <w:ind w:firstLine="600" w:firstLineChars="200"/>
        <w:rPr>
          <w:rFonts w:ascii="仿宋" w:hAnsi="仿宋" w:eastAsia="仿宋" w:cs="仿宋"/>
          <w:color w:val="auto"/>
          <w:sz w:val="30"/>
          <w:szCs w:val="30"/>
        </w:rPr>
      </w:pPr>
      <w:r>
        <w:rPr>
          <w:rFonts w:hint="eastAsia" w:ascii="仿宋" w:hAnsi="仿宋" w:eastAsia="仿宋" w:cs="仿宋"/>
          <w:color w:val="auto"/>
          <w:sz w:val="30"/>
          <w:szCs w:val="30"/>
        </w:rPr>
        <w:t>根据“深圳市市场监督管理局关于下达202</w:t>
      </w:r>
      <w:r>
        <w:rPr>
          <w:rFonts w:hint="eastAsia" w:ascii="仿宋" w:hAnsi="仿宋" w:eastAsia="仿宋" w:cs="仿宋"/>
          <w:color w:val="auto"/>
          <w:sz w:val="30"/>
          <w:szCs w:val="30"/>
          <w:lang w:val="en-US" w:eastAsia="zh-CN"/>
        </w:rPr>
        <w:t>2</w:t>
      </w:r>
      <w:r>
        <w:rPr>
          <w:rFonts w:hint="eastAsia" w:ascii="仿宋" w:hAnsi="仿宋" w:eastAsia="仿宋" w:cs="仿宋"/>
          <w:color w:val="auto"/>
          <w:sz w:val="30"/>
          <w:szCs w:val="30"/>
        </w:rPr>
        <w:t>年第一批深圳市地方标准计划项目任务的通知”，《多功能智能杆 信息系统安全管理规范</w:t>
      </w:r>
      <w:bookmarkStart w:id="5" w:name="_GoBack"/>
      <w:bookmarkEnd w:id="5"/>
      <w:r>
        <w:rPr>
          <w:rFonts w:hint="eastAsia" w:ascii="仿宋" w:hAnsi="仿宋" w:eastAsia="仿宋" w:cs="仿宋"/>
          <w:color w:val="auto"/>
          <w:sz w:val="30"/>
          <w:szCs w:val="30"/>
        </w:rPr>
        <w:t>》地方标准批准立项。</w:t>
      </w:r>
    </w:p>
    <w:p>
      <w:pPr>
        <w:pStyle w:val="3"/>
        <w:snapToGrid w:val="0"/>
        <w:spacing w:before="0" w:beforeAutospacing="0" w:after="0" w:afterAutospacing="0" w:line="360" w:lineRule="auto"/>
        <w:ind w:firstLine="602" w:firstLineChars="200"/>
        <w:rPr>
          <w:rFonts w:ascii="仿宋" w:hAnsi="仿宋" w:cs="仿宋"/>
          <w:sz w:val="30"/>
          <w:szCs w:val="30"/>
        </w:rPr>
      </w:pPr>
      <w:r>
        <w:rPr>
          <w:rFonts w:hint="eastAsia" w:ascii="仿宋" w:hAnsi="仿宋" w:cs="仿宋"/>
          <w:sz w:val="30"/>
          <w:szCs w:val="30"/>
        </w:rPr>
        <w:t>2、主要工作过程</w:t>
      </w:r>
    </w:p>
    <w:p>
      <w:pPr>
        <w:snapToGrid w:val="0"/>
        <w:spacing w:line="360" w:lineRule="auto"/>
        <w:ind w:firstLine="602" w:firstLineChars="200"/>
        <w:rPr>
          <w:rFonts w:ascii="仿宋" w:hAnsi="仿宋" w:eastAsia="仿宋" w:cs="仿宋"/>
          <w:b/>
          <w:bCs/>
          <w:sz w:val="30"/>
          <w:szCs w:val="30"/>
        </w:rPr>
      </w:pPr>
      <w:r>
        <w:rPr>
          <w:rFonts w:hint="eastAsia" w:ascii="仿宋" w:hAnsi="仿宋" w:eastAsia="仿宋" w:cs="仿宋"/>
          <w:b/>
          <w:bCs/>
          <w:sz w:val="30"/>
          <w:szCs w:val="30"/>
        </w:rPr>
        <w:t>（一）预研阶段</w:t>
      </w:r>
    </w:p>
    <w:p>
      <w:pPr>
        <w:pStyle w:val="13"/>
        <w:widowControl/>
        <w:shd w:val="clear" w:color="auto" w:fill="FFFFFF"/>
        <w:snapToGrid w:val="0"/>
        <w:spacing w:before="0" w:beforeAutospacing="0" w:after="0" w:afterAutospacing="0" w:line="360" w:lineRule="auto"/>
        <w:ind w:firstLine="600" w:firstLineChars="200"/>
        <w:jc w:val="both"/>
        <w:rPr>
          <w:rFonts w:hint="eastAsia" w:ascii="仿宋" w:hAnsi="仿宋" w:eastAsia="仿宋" w:cs="仿宋"/>
          <w:kern w:val="2"/>
          <w:sz w:val="30"/>
          <w:szCs w:val="30"/>
        </w:rPr>
      </w:pPr>
      <w:r>
        <w:rPr>
          <w:rFonts w:hint="eastAsia" w:ascii="仿宋" w:hAnsi="仿宋" w:eastAsia="仿宋" w:cs="仿宋"/>
          <w:kern w:val="2"/>
          <w:sz w:val="30"/>
          <w:szCs w:val="30"/>
        </w:rPr>
        <w:t>项目下达后，充分吸收来自深圳多功能智能杆多个不同领域内有能力、经验和研究工作基础的专家、学者、企业代表</w:t>
      </w:r>
      <w:r>
        <w:rPr>
          <w:rFonts w:hint="eastAsia" w:ascii="仿宋" w:hAnsi="仿宋" w:eastAsia="仿宋" w:cs="仿宋"/>
          <w:kern w:val="2"/>
          <w:sz w:val="30"/>
          <w:szCs w:val="30"/>
          <w:lang w:val="en-US" w:eastAsia="zh-CN"/>
        </w:rPr>
        <w:t>组成标准编制组</w:t>
      </w:r>
      <w:r>
        <w:rPr>
          <w:rFonts w:hint="eastAsia" w:ascii="仿宋" w:hAnsi="仿宋" w:eastAsia="仿宋" w:cs="仿宋"/>
          <w:kern w:val="2"/>
          <w:sz w:val="30"/>
          <w:szCs w:val="30"/>
        </w:rPr>
        <w:t>，</w:t>
      </w:r>
      <w:r>
        <w:rPr>
          <w:rFonts w:hint="eastAsia" w:ascii="仿宋" w:hAnsi="仿宋" w:eastAsia="仿宋" w:cs="仿宋"/>
          <w:kern w:val="2"/>
          <w:sz w:val="30"/>
          <w:szCs w:val="30"/>
          <w:lang w:val="en-US" w:eastAsia="zh-CN"/>
        </w:rPr>
        <w:t>编制组</w:t>
      </w:r>
      <w:r>
        <w:rPr>
          <w:rFonts w:hint="eastAsia" w:ascii="仿宋" w:hAnsi="仿宋" w:eastAsia="仿宋" w:cs="仿宋"/>
          <w:kern w:val="2"/>
          <w:sz w:val="30"/>
          <w:szCs w:val="30"/>
        </w:rPr>
        <w:t>充分考虑深圳</w:t>
      </w:r>
      <w:r>
        <w:rPr>
          <w:rStyle w:val="18"/>
          <w:rFonts w:hint="eastAsia" w:ascii="仿宋" w:hAnsi="仿宋" w:eastAsia="仿宋" w:cs="仿宋"/>
          <w:b w:val="0"/>
          <w:bCs/>
          <w:color w:val="auto"/>
          <w:spacing w:val="0"/>
          <w:kern w:val="0"/>
          <w:sz w:val="28"/>
          <w:szCs w:val="28"/>
          <w:lang w:val="en-US" w:eastAsia="zh-CN" w:bidi="ar"/>
        </w:rPr>
        <w:t>多功能智能杆信息安全潜在的风险因子</w:t>
      </w:r>
      <w:r>
        <w:rPr>
          <w:rFonts w:hint="eastAsia" w:ascii="仿宋" w:hAnsi="仿宋" w:eastAsia="仿宋" w:cs="仿宋"/>
          <w:kern w:val="2"/>
          <w:sz w:val="30"/>
          <w:szCs w:val="30"/>
        </w:rPr>
        <w:t>，</w:t>
      </w:r>
      <w:r>
        <w:rPr>
          <w:rStyle w:val="18"/>
          <w:rFonts w:hint="eastAsia" w:ascii="仿宋" w:hAnsi="仿宋" w:eastAsia="仿宋" w:cs="仿宋"/>
          <w:b w:val="0"/>
          <w:bCs/>
          <w:color w:val="auto"/>
          <w:spacing w:val="0"/>
          <w:kern w:val="0"/>
          <w:sz w:val="28"/>
          <w:szCs w:val="28"/>
          <w:lang w:val="en-US" w:eastAsia="zh-CN" w:bidi="ar"/>
        </w:rPr>
        <w:t>为提高系统运维管理水平，满足相关法规的要求，从信息内容的被泄露、被假冒、被伪造；信息系统被攻击、被入侵、被染毒；信息网络被堵塞、被中断、被致瘫；信息基础设施被损伤、被破坏、被损毁等维度，</w:t>
      </w:r>
      <w:r>
        <w:rPr>
          <w:rFonts w:hint="eastAsia" w:ascii="仿宋" w:hAnsi="仿宋" w:eastAsia="仿宋" w:cs="仿宋"/>
          <w:kern w:val="2"/>
          <w:sz w:val="30"/>
          <w:szCs w:val="30"/>
        </w:rPr>
        <w:t>确定本标准的主要内容，完成标准编制大纲。</w:t>
      </w:r>
    </w:p>
    <w:p>
      <w:pPr>
        <w:pStyle w:val="13"/>
        <w:widowControl/>
        <w:shd w:val="clear" w:color="auto" w:fill="FFFFFF"/>
        <w:snapToGrid w:val="0"/>
        <w:spacing w:before="0" w:beforeAutospacing="0" w:after="0" w:afterAutospacing="0" w:line="360" w:lineRule="auto"/>
        <w:ind w:firstLine="602" w:firstLineChars="200"/>
        <w:jc w:val="both"/>
        <w:rPr>
          <w:rFonts w:ascii="仿宋" w:hAnsi="仿宋" w:eastAsia="仿宋" w:cs="仿宋"/>
          <w:kern w:val="2"/>
          <w:sz w:val="30"/>
          <w:szCs w:val="30"/>
        </w:rPr>
      </w:pPr>
      <w:r>
        <w:rPr>
          <w:rFonts w:hint="eastAsia" w:ascii="仿宋" w:hAnsi="仿宋" w:eastAsia="仿宋" w:cs="仿宋"/>
          <w:b/>
          <w:bCs/>
          <w:sz w:val="30"/>
          <w:szCs w:val="30"/>
        </w:rPr>
        <w:t>（二）编制阶段</w:t>
      </w:r>
    </w:p>
    <w:p>
      <w:pPr>
        <w:pStyle w:val="13"/>
        <w:widowControl/>
        <w:snapToGrid w:val="0"/>
        <w:spacing w:before="0" w:beforeAutospacing="0" w:after="0" w:afterAutospacing="0" w:line="360" w:lineRule="auto"/>
        <w:ind w:firstLine="600" w:firstLineChars="200"/>
        <w:rPr>
          <w:rFonts w:ascii="仿宋" w:hAnsi="仿宋" w:eastAsia="仿宋" w:cs="仿宋"/>
          <w:sz w:val="30"/>
          <w:szCs w:val="30"/>
        </w:rPr>
      </w:pPr>
      <w:r>
        <w:rPr>
          <w:rFonts w:hint="eastAsia" w:ascii="仿宋" w:hAnsi="仿宋" w:eastAsia="仿宋" w:cs="仿宋"/>
          <w:sz w:val="30"/>
          <w:szCs w:val="30"/>
        </w:rPr>
        <w:t>1）成立起草组</w:t>
      </w:r>
    </w:p>
    <w:p>
      <w:pPr>
        <w:pStyle w:val="13"/>
        <w:widowControl/>
        <w:snapToGrid w:val="0"/>
        <w:spacing w:before="0" w:beforeAutospacing="0" w:after="0" w:afterAutospacing="0" w:line="360" w:lineRule="auto"/>
        <w:ind w:firstLine="600" w:firstLineChars="200"/>
        <w:rPr>
          <w:rFonts w:ascii="仿宋" w:hAnsi="仿宋" w:eastAsia="仿宋" w:cs="仿宋"/>
          <w:sz w:val="30"/>
          <w:szCs w:val="30"/>
        </w:rPr>
      </w:pPr>
      <w:r>
        <w:rPr>
          <w:rFonts w:hint="eastAsia" w:ascii="仿宋" w:hAnsi="仿宋" w:eastAsia="仿宋" w:cs="仿宋"/>
          <w:sz w:val="30"/>
          <w:szCs w:val="30"/>
        </w:rPr>
        <w:t>充分吸收来自</w:t>
      </w:r>
      <w:r>
        <w:rPr>
          <w:rFonts w:hint="eastAsia" w:ascii="仿宋" w:hAnsi="仿宋" w:eastAsia="仿宋" w:cs="仿宋"/>
          <w:kern w:val="2"/>
          <w:sz w:val="30"/>
          <w:szCs w:val="30"/>
        </w:rPr>
        <w:t>多功能智能杆</w:t>
      </w:r>
      <w:r>
        <w:rPr>
          <w:rFonts w:hint="eastAsia" w:ascii="仿宋" w:hAnsi="仿宋" w:eastAsia="仿宋" w:cs="仿宋"/>
          <w:sz w:val="30"/>
          <w:szCs w:val="30"/>
        </w:rPr>
        <w:t>建设与管理各个不同领域内有能力、经验和研究工作基础的专家、学者、企业代表等，于标准立项批准后立即成立标准</w:t>
      </w:r>
      <w:r>
        <w:rPr>
          <w:rFonts w:hint="eastAsia" w:ascii="仿宋" w:hAnsi="仿宋" w:eastAsia="仿宋" w:cs="仿宋"/>
          <w:sz w:val="30"/>
          <w:szCs w:val="30"/>
          <w:lang w:val="en-US" w:eastAsia="zh-CN"/>
        </w:rPr>
        <w:t>编制</w:t>
      </w:r>
      <w:r>
        <w:rPr>
          <w:rFonts w:hint="eastAsia" w:ascii="仿宋" w:hAnsi="仿宋" w:eastAsia="仿宋" w:cs="仿宋"/>
          <w:sz w:val="30"/>
          <w:szCs w:val="30"/>
        </w:rPr>
        <w:t>组。</w:t>
      </w:r>
    </w:p>
    <w:p>
      <w:pPr>
        <w:keepNext w:val="0"/>
        <w:keepLines w:val="0"/>
        <w:pageBreakBefore w:val="0"/>
        <w:widowControl w:val="0"/>
        <w:kinsoku/>
        <w:wordWrap/>
        <w:overflowPunct/>
        <w:topLinePunct w:val="0"/>
        <w:autoSpaceDE/>
        <w:autoSpaceDN/>
        <w:bidi w:val="0"/>
        <w:adjustRightInd/>
        <w:snapToGrid/>
        <w:spacing w:line="240" w:lineRule="auto"/>
        <w:ind w:firstLine="600" w:firstLineChars="200"/>
        <w:textAlignment w:val="auto"/>
        <w:rPr>
          <w:rFonts w:hint="eastAsia" w:ascii="微软雅黑" w:hAnsi="微软雅黑" w:eastAsia="仿宋_GB2312" w:cs="仿宋_GB2312"/>
          <w:sz w:val="32"/>
          <w:lang w:val="en-US" w:eastAsia="zh-CN"/>
        </w:rPr>
      </w:pPr>
      <w:r>
        <w:rPr>
          <w:rFonts w:hint="eastAsia" w:ascii="仿宋" w:hAnsi="仿宋" w:eastAsia="仿宋" w:cs="仿宋"/>
          <w:kern w:val="2"/>
          <w:sz w:val="30"/>
          <w:szCs w:val="30"/>
          <w:lang w:val="en-US" w:eastAsia="zh-CN" w:bidi="ar-SA"/>
        </w:rPr>
        <w:t>2022年8月15日，深圳市《多功能智能杆 网络安全等级保护规范》和《多功能智能杆 信息系统安全管理规范》地方标准编制工作启动会在深圳市前海深港合作区南山街道桂湾五路123号前海大厦T2栋5楼会议室隆重举行，</w:t>
      </w:r>
      <w:r>
        <w:rPr>
          <w:rFonts w:hint="eastAsia" w:ascii="微软雅黑" w:hAnsi="微软雅黑" w:eastAsia="仿宋_GB2312" w:cs="仿宋_GB2312"/>
          <w:sz w:val="32"/>
          <w:lang w:eastAsia="zh-CN"/>
        </w:rPr>
        <w:t>会议由</w:t>
      </w:r>
      <w:r>
        <w:rPr>
          <w:rFonts w:hint="eastAsia" w:ascii="仿宋_GB2312" w:hAnsi="仿宋_GB2312" w:eastAsia="仿宋_GB2312" w:cs="仿宋_GB2312"/>
          <w:sz w:val="32"/>
          <w:szCs w:val="32"/>
        </w:rPr>
        <w:t>深圳市脉山龙信息技术股份有限公司</w:t>
      </w:r>
      <w:r>
        <w:rPr>
          <w:rFonts w:hint="eastAsia" w:ascii="微软雅黑" w:hAnsi="微软雅黑" w:eastAsia="仿宋_GB2312" w:cs="仿宋_GB2312"/>
          <w:sz w:val="32"/>
          <w:lang w:val="en-US" w:eastAsia="zh-CN"/>
        </w:rPr>
        <w:t>总裁</w:t>
      </w:r>
      <w:r>
        <w:rPr>
          <w:rFonts w:hint="eastAsia" w:ascii="微软雅黑" w:hAnsi="微软雅黑" w:eastAsia="仿宋_GB2312" w:cs="仿宋_GB2312"/>
          <w:sz w:val="32"/>
          <w:lang w:eastAsia="zh-CN"/>
        </w:rPr>
        <w:t>主</w:t>
      </w:r>
      <w:r>
        <w:rPr>
          <w:rFonts w:hint="eastAsia" w:ascii="微软雅黑" w:hAnsi="微软雅黑" w:eastAsia="仿宋_GB2312" w:cs="仿宋_GB2312"/>
          <w:sz w:val="32"/>
        </w:rPr>
        <w:t>持，</w:t>
      </w:r>
      <w:r>
        <w:rPr>
          <w:rFonts w:hint="eastAsia" w:ascii="仿宋_GB2312" w:hAnsi="仿宋_GB2312" w:eastAsia="仿宋_GB2312" w:cs="仿宋_GB2312"/>
          <w:sz w:val="32"/>
          <w:szCs w:val="32"/>
        </w:rPr>
        <w:t>市工信局信息基础设施处、</w:t>
      </w:r>
      <w:r>
        <w:rPr>
          <w:rFonts w:hint="eastAsia" w:ascii="微软雅黑" w:hAnsi="微软雅黑" w:eastAsia="仿宋_GB2312" w:cs="仿宋_GB2312"/>
          <w:sz w:val="32"/>
        </w:rPr>
        <w:t>深圳市信息基础设施投资发展有限公司</w:t>
      </w:r>
      <w:r>
        <w:rPr>
          <w:rFonts w:hint="eastAsia" w:ascii="微软雅黑" w:hAnsi="微软雅黑" w:eastAsia="仿宋_GB2312" w:cs="仿宋_GB2312"/>
          <w:sz w:val="32"/>
          <w:lang w:val="en-US" w:eastAsia="zh-CN"/>
        </w:rPr>
        <w:t>以</w:t>
      </w:r>
      <w:r>
        <w:rPr>
          <w:rFonts w:hint="eastAsia" w:ascii="微软雅黑" w:hAnsi="微软雅黑" w:eastAsia="仿宋_GB2312" w:cs="仿宋_GB2312"/>
          <w:sz w:val="32"/>
          <w:lang w:eastAsia="zh-CN"/>
        </w:rPr>
        <w:t>及</w:t>
      </w:r>
      <w:r>
        <w:rPr>
          <w:rFonts w:hint="eastAsia" w:ascii="仿宋_GB2312" w:hAnsi="仿宋_GB2312" w:eastAsia="仿宋_GB2312" w:cs="仿宋_GB2312"/>
          <w:sz w:val="32"/>
          <w:szCs w:val="32"/>
        </w:rPr>
        <w:t>脉山龙</w:t>
      </w:r>
      <w:r>
        <w:rPr>
          <w:rFonts w:hint="eastAsia" w:ascii="微软雅黑" w:hAnsi="微软雅黑" w:eastAsia="仿宋_GB2312" w:cs="仿宋_GB2312"/>
          <w:sz w:val="32"/>
        </w:rPr>
        <w:t>、</w:t>
      </w:r>
      <w:r>
        <w:rPr>
          <w:rFonts w:hint="eastAsia" w:ascii="微软雅黑" w:hAnsi="微软雅黑" w:eastAsia="仿宋_GB2312" w:cs="仿宋_GB2312"/>
          <w:sz w:val="32"/>
          <w:lang w:eastAsia="zh-CN"/>
        </w:rPr>
        <w:t>深信投、</w:t>
      </w:r>
      <w:r>
        <w:rPr>
          <w:rFonts w:hint="eastAsia" w:ascii="微软雅黑" w:hAnsi="微软雅黑" w:eastAsia="仿宋_GB2312" w:cs="仿宋_GB2312"/>
          <w:sz w:val="32"/>
        </w:rPr>
        <w:t>洲明</w:t>
      </w:r>
      <w:r>
        <w:rPr>
          <w:rFonts w:hint="eastAsia" w:ascii="微软雅黑" w:hAnsi="微软雅黑" w:eastAsia="仿宋_GB2312" w:cs="仿宋_GB2312"/>
          <w:sz w:val="32"/>
          <w:lang w:eastAsia="zh-CN"/>
        </w:rPr>
        <w:t>科技、</w:t>
      </w:r>
      <w:r>
        <w:rPr>
          <w:rFonts w:hint="eastAsia" w:ascii="仿宋_GB2312" w:hAnsi="仿宋_GB2312" w:eastAsia="仿宋_GB2312" w:cs="仿宋_GB2312"/>
          <w:color w:val="auto"/>
          <w:sz w:val="32"/>
          <w:szCs w:val="32"/>
        </w:rPr>
        <w:t>昂楷科技</w:t>
      </w:r>
      <w:r>
        <w:rPr>
          <w:rFonts w:hint="eastAsia" w:ascii="微软雅黑" w:hAnsi="微软雅黑" w:eastAsia="仿宋_GB2312" w:cs="仿宋_GB2312"/>
          <w:sz w:val="32"/>
          <w:lang w:eastAsia="zh-CN"/>
        </w:rPr>
        <w:t>等二十五</w:t>
      </w:r>
      <w:r>
        <w:rPr>
          <w:rFonts w:hint="eastAsia" w:ascii="微软雅黑" w:hAnsi="微软雅黑" w:eastAsia="仿宋_GB2312" w:cs="仿宋_GB2312"/>
          <w:sz w:val="32"/>
        </w:rPr>
        <w:t>家单位代表出席了会议。</w:t>
      </w:r>
      <w:r>
        <w:rPr>
          <w:rFonts w:hint="eastAsia" w:ascii="微软雅黑" w:hAnsi="微软雅黑" w:eastAsia="仿宋_GB2312" w:cs="仿宋_GB2312"/>
          <w:sz w:val="32"/>
          <w:lang w:val="en-US" w:eastAsia="zh-CN"/>
        </w:rPr>
        <w:t>本次会议的召开，统一了两项标准的编制思路和原则，确定了标准编制的下一步计划，为标准编制工作的顺利推进奠定了基础。</w:t>
      </w:r>
    </w:p>
    <w:p>
      <w:pPr>
        <w:pStyle w:val="13"/>
        <w:widowControl/>
        <w:snapToGrid w:val="0"/>
        <w:spacing w:before="0" w:beforeAutospacing="0" w:after="0" w:afterAutospacing="0" w:line="360" w:lineRule="auto"/>
        <w:rPr>
          <w:rFonts w:hint="eastAsia" w:ascii="仿宋" w:hAnsi="仿宋" w:eastAsia="仿宋" w:cs="仿宋"/>
          <w:sz w:val="30"/>
          <w:szCs w:val="30"/>
        </w:rPr>
      </w:pPr>
      <w:r>
        <w:rPr>
          <w:rFonts w:hint="eastAsia" w:ascii="仿宋" w:hAnsi="仿宋" w:eastAsia="仿宋" w:cs="仿宋"/>
          <w:sz w:val="30"/>
          <w:szCs w:val="30"/>
          <w:lang w:eastAsia="zh-CN"/>
        </w:rPr>
        <w:drawing>
          <wp:inline distT="0" distB="0" distL="114300" distR="114300">
            <wp:extent cx="5791835" cy="3566160"/>
            <wp:effectExtent l="0" t="0" r="18415" b="15240"/>
            <wp:docPr id="1" name="图片 1" descr="20220815地标启动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0220815地标启动会"/>
                    <pic:cNvPicPr>
                      <a:picLocks noChangeAspect="1"/>
                    </pic:cNvPicPr>
                  </pic:nvPicPr>
                  <pic:blipFill>
                    <a:blip r:embed="rId5"/>
                    <a:stretch>
                      <a:fillRect/>
                    </a:stretch>
                  </pic:blipFill>
                  <pic:spPr>
                    <a:xfrm>
                      <a:off x="0" y="0"/>
                      <a:ext cx="5791835" cy="3566160"/>
                    </a:xfrm>
                    <a:prstGeom prst="rect">
                      <a:avLst/>
                    </a:prstGeom>
                  </pic:spPr>
                </pic:pic>
              </a:graphicData>
            </a:graphic>
          </wp:inline>
        </w:drawing>
      </w:r>
    </w:p>
    <w:p>
      <w:pPr>
        <w:pStyle w:val="13"/>
        <w:widowControl/>
        <w:snapToGrid w:val="0"/>
        <w:spacing w:before="0" w:beforeAutospacing="0" w:after="0" w:afterAutospacing="0" w:line="360" w:lineRule="auto"/>
        <w:ind w:left="0" w:leftChars="0" w:firstLine="0" w:firstLineChars="0"/>
        <w:rPr>
          <w:rFonts w:hint="eastAsia" w:ascii="仿宋" w:hAnsi="仿宋" w:eastAsia="仿宋" w:cs="仿宋"/>
          <w:sz w:val="30"/>
          <w:szCs w:val="30"/>
          <w:lang w:eastAsia="zh-CN"/>
        </w:rPr>
      </w:pPr>
      <w:r>
        <w:rPr>
          <w:rFonts w:hint="eastAsia" w:ascii="仿宋" w:hAnsi="仿宋" w:eastAsia="仿宋" w:cs="仿宋"/>
          <w:sz w:val="30"/>
          <w:szCs w:val="30"/>
          <w:lang w:eastAsia="zh-CN"/>
        </w:rPr>
        <w:drawing>
          <wp:inline distT="0" distB="0" distL="114300" distR="114300">
            <wp:extent cx="5786120" cy="3858895"/>
            <wp:effectExtent l="0" t="0" r="5080" b="8255"/>
            <wp:docPr id="2" name="图片 2" descr="c97d64b59778ebdd2d50725d09e520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97d64b59778ebdd2d50725d09e5200b"/>
                    <pic:cNvPicPr>
                      <a:picLocks noChangeAspect="1"/>
                    </pic:cNvPicPr>
                  </pic:nvPicPr>
                  <pic:blipFill>
                    <a:blip r:embed="rId6"/>
                    <a:stretch>
                      <a:fillRect/>
                    </a:stretch>
                  </pic:blipFill>
                  <pic:spPr>
                    <a:xfrm>
                      <a:off x="0" y="0"/>
                      <a:ext cx="5786120" cy="3858895"/>
                    </a:xfrm>
                    <a:prstGeom prst="rect">
                      <a:avLst/>
                    </a:prstGeom>
                  </pic:spPr>
                </pic:pic>
              </a:graphicData>
            </a:graphic>
          </wp:inline>
        </w:drawing>
      </w:r>
    </w:p>
    <w:p>
      <w:pPr>
        <w:pStyle w:val="13"/>
        <w:widowControl/>
        <w:snapToGrid w:val="0"/>
        <w:spacing w:before="0" w:beforeAutospacing="0" w:after="0" w:afterAutospacing="0" w:line="360" w:lineRule="auto"/>
        <w:ind w:firstLine="600" w:firstLineChars="200"/>
        <w:rPr>
          <w:rFonts w:ascii="仿宋" w:hAnsi="仿宋" w:eastAsia="仿宋" w:cs="仿宋"/>
          <w:b/>
          <w:bCs/>
          <w:sz w:val="30"/>
          <w:szCs w:val="30"/>
        </w:rPr>
      </w:pPr>
      <w:r>
        <w:rPr>
          <w:rFonts w:hint="eastAsia" w:ascii="仿宋" w:hAnsi="仿宋" w:eastAsia="仿宋" w:cs="仿宋"/>
          <w:sz w:val="30"/>
          <w:szCs w:val="30"/>
        </w:rPr>
        <w:t>2）形成标准草案</w:t>
      </w:r>
    </w:p>
    <w:p>
      <w:pPr>
        <w:pStyle w:val="13"/>
        <w:widowControl/>
        <w:numPr>
          <w:ilvl w:val="0"/>
          <w:numId w:val="0"/>
        </w:numPr>
        <w:snapToGrid w:val="0"/>
        <w:spacing w:before="0" w:beforeAutospacing="0" w:after="0" w:afterAutospacing="0" w:line="360" w:lineRule="auto"/>
        <w:ind w:firstLine="600" w:firstLineChars="200"/>
        <w:rPr>
          <w:rFonts w:ascii="仿宋_GB2312" w:hAnsi="仿宋_GB2312" w:eastAsia="仿宋_GB2312" w:cs="仿宋_GB2312"/>
          <w:color w:val="auto"/>
          <w:sz w:val="32"/>
          <w:szCs w:val="32"/>
        </w:rPr>
      </w:pPr>
      <w:r>
        <w:rPr>
          <w:rFonts w:hint="eastAsia" w:ascii="仿宋" w:hAnsi="仿宋" w:eastAsia="仿宋" w:cs="仿宋"/>
          <w:color w:val="auto"/>
          <w:sz w:val="30"/>
          <w:szCs w:val="30"/>
          <w:lang w:val="en-US" w:eastAsia="zh-CN"/>
        </w:rPr>
        <w:t>2022年9月23日，深圳市《多功能智能杆 网络安全等级保护规范》和《多功能智</w:t>
      </w:r>
      <w:r>
        <w:rPr>
          <w:rFonts w:hint="eastAsia" w:ascii="仿宋" w:hAnsi="仿宋" w:eastAsia="仿宋" w:cs="仿宋"/>
          <w:color w:val="auto"/>
          <w:kern w:val="2"/>
          <w:sz w:val="30"/>
          <w:szCs w:val="30"/>
          <w:lang w:val="en-US" w:eastAsia="zh-CN" w:bidi="ar-SA"/>
        </w:rPr>
        <w:t>能杆 信息系统安全管理规范》地方标准编制第二次工作会议</w:t>
      </w:r>
      <w:r>
        <w:rPr>
          <w:rFonts w:hint="eastAsia" w:ascii="仿宋_GB2312" w:hAnsi="仿宋_GB2312" w:eastAsia="仿宋_GB2312" w:cs="仿宋_GB2312"/>
          <w:color w:val="auto"/>
          <w:sz w:val="32"/>
          <w:szCs w:val="32"/>
        </w:rPr>
        <w:t>在深圳市</w:t>
      </w:r>
      <w:r>
        <w:rPr>
          <w:rFonts w:hint="eastAsia" w:ascii="仿宋_GB2312" w:hAnsi="仿宋_GB2312" w:eastAsia="仿宋_GB2312" w:cs="仿宋_GB2312"/>
          <w:color w:val="auto"/>
          <w:sz w:val="32"/>
          <w:szCs w:val="32"/>
          <w:lang w:eastAsia="zh-CN"/>
        </w:rPr>
        <w:t>新一代产业园深信投公司</w:t>
      </w:r>
      <w:r>
        <w:rPr>
          <w:rFonts w:hint="eastAsia" w:ascii="仿宋_GB2312" w:hAnsi="仿宋_GB2312" w:eastAsia="仿宋_GB2312" w:cs="仿宋_GB2312"/>
          <w:color w:val="auto"/>
          <w:sz w:val="32"/>
          <w:szCs w:val="32"/>
          <w:lang w:val="en-US" w:eastAsia="zh-CN"/>
        </w:rPr>
        <w:t>1号会议室召开。参会专家对两项地标的</w:t>
      </w:r>
      <w:r>
        <w:rPr>
          <w:rFonts w:hint="eastAsia" w:ascii="仿宋" w:hAnsi="仿宋" w:eastAsia="仿宋" w:cs="仿宋"/>
          <w:color w:val="auto"/>
          <w:sz w:val="30"/>
          <w:szCs w:val="30"/>
        </w:rPr>
        <w:t>标准草案</w:t>
      </w:r>
      <w:r>
        <w:rPr>
          <w:rFonts w:hint="eastAsia" w:ascii="仿宋_GB2312" w:hAnsi="仿宋_GB2312" w:eastAsia="仿宋_GB2312" w:cs="仿宋_GB2312"/>
          <w:color w:val="auto"/>
          <w:sz w:val="32"/>
          <w:szCs w:val="32"/>
          <w:lang w:val="en-US" w:eastAsia="zh-CN"/>
        </w:rPr>
        <w:t>做了深入研讨，</w:t>
      </w:r>
      <w:r>
        <w:rPr>
          <w:rFonts w:hint="eastAsia" w:ascii="仿宋_GB2312" w:hAnsi="仿宋_GB2312" w:eastAsia="仿宋_GB2312" w:cs="仿宋_GB2312"/>
          <w:color w:val="auto"/>
          <w:sz w:val="32"/>
          <w:szCs w:val="32"/>
        </w:rPr>
        <w:t>拟定了两项地标修</w:t>
      </w:r>
      <w:r>
        <w:rPr>
          <w:rFonts w:hint="eastAsia" w:ascii="仿宋_GB2312" w:hAnsi="仿宋_GB2312" w:eastAsia="仿宋_GB2312" w:cs="仿宋_GB2312"/>
          <w:color w:val="auto"/>
          <w:sz w:val="32"/>
          <w:szCs w:val="32"/>
          <w:lang w:val="en-US" w:eastAsia="zh-CN"/>
        </w:rPr>
        <w:t>该完善</w:t>
      </w:r>
      <w:r>
        <w:rPr>
          <w:rFonts w:hint="eastAsia" w:ascii="仿宋_GB2312" w:hAnsi="仿宋_GB2312" w:eastAsia="仿宋_GB2312" w:cs="仿宋_GB2312"/>
          <w:color w:val="auto"/>
          <w:sz w:val="32"/>
          <w:szCs w:val="32"/>
        </w:rPr>
        <w:t>的任务分工。</w:t>
      </w:r>
    </w:p>
    <w:p>
      <w:pPr>
        <w:pStyle w:val="47"/>
        <w:numPr>
          <w:ilvl w:val="0"/>
          <w:numId w:val="3"/>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鼎铉商用密码测评技术（深圳）有限公司完善密码模块及加密方式等内容。</w:t>
      </w:r>
    </w:p>
    <w:p>
      <w:pPr>
        <w:pStyle w:val="47"/>
        <w:numPr>
          <w:ilvl w:val="0"/>
          <w:numId w:val="3"/>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深圳市万集科技股份有限公司完善密码运算功能接口及软硬件模块内容。</w:t>
      </w:r>
    </w:p>
    <w:p>
      <w:pPr>
        <w:pStyle w:val="47"/>
        <w:numPr>
          <w:ilvl w:val="0"/>
          <w:numId w:val="3"/>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深圳市博通智能技术有限公司完善安全物理环境、安全管理制度、安全管理机构等内容。</w:t>
      </w:r>
    </w:p>
    <w:p>
      <w:pPr>
        <w:pStyle w:val="47"/>
        <w:numPr>
          <w:ilvl w:val="0"/>
          <w:numId w:val="3"/>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深圳市可信计算有限公司完善可信验证的流程图内容。</w:t>
      </w:r>
    </w:p>
    <w:p>
      <w:pPr>
        <w:pStyle w:val="47"/>
        <w:numPr>
          <w:ilvl w:val="0"/>
          <w:numId w:val="3"/>
        </w:numPr>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华为技术有限公司完善接入控制及接口协议等内容。</w:t>
      </w:r>
    </w:p>
    <w:p>
      <w:pPr>
        <w:snapToGrid w:val="0"/>
        <w:spacing w:line="360" w:lineRule="auto"/>
        <w:ind w:left="0" w:leftChars="0" w:firstLine="0" w:firstLineChars="0"/>
        <w:rPr>
          <w:rFonts w:hint="eastAsia" w:ascii="仿宋" w:hAnsi="仿宋" w:eastAsia="仿宋" w:cs="仿宋"/>
          <w:color w:val="auto"/>
          <w:sz w:val="30"/>
          <w:szCs w:val="30"/>
          <w:lang w:eastAsia="zh-CN"/>
        </w:rPr>
      </w:pPr>
      <w:r>
        <w:rPr>
          <w:rFonts w:hint="eastAsia" w:ascii="仿宋_GB2312" w:hAnsi="仿宋_GB2312" w:eastAsia="仿宋_GB2312" w:cs="仿宋_GB2312"/>
          <w:color w:val="auto"/>
          <w:sz w:val="32"/>
          <w:szCs w:val="32"/>
        </w:rPr>
        <w:t>深圳昂楷科技有限公司完善数据分类及分级保护内容。</w:t>
      </w:r>
    </w:p>
    <w:p>
      <w:pPr>
        <w:snapToGrid w:val="0"/>
        <w:spacing w:line="360" w:lineRule="auto"/>
        <w:ind w:left="0" w:leftChars="0" w:firstLine="0" w:firstLineChars="0"/>
        <w:rPr>
          <w:rFonts w:hint="eastAsia" w:ascii="仿宋" w:hAnsi="仿宋" w:eastAsia="仿宋" w:cs="仿宋"/>
          <w:sz w:val="30"/>
          <w:szCs w:val="30"/>
          <w:lang w:eastAsia="zh-CN"/>
        </w:rPr>
      </w:pPr>
      <w:r>
        <w:rPr>
          <w:rFonts w:hint="eastAsia" w:ascii="仿宋" w:hAnsi="仿宋" w:eastAsia="仿宋" w:cs="仿宋"/>
          <w:sz w:val="30"/>
          <w:szCs w:val="30"/>
          <w:lang w:eastAsia="zh-CN"/>
        </w:rPr>
        <w:drawing>
          <wp:inline distT="0" distB="0" distL="114300" distR="114300">
            <wp:extent cx="5784850" cy="3856990"/>
            <wp:effectExtent l="0" t="0" r="6350" b="10160"/>
            <wp:docPr id="4" name="图片 4" descr="2022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0220923-2"/>
                    <pic:cNvPicPr>
                      <a:picLocks noChangeAspect="1"/>
                    </pic:cNvPicPr>
                  </pic:nvPicPr>
                  <pic:blipFill>
                    <a:blip r:embed="rId7"/>
                    <a:stretch>
                      <a:fillRect/>
                    </a:stretch>
                  </pic:blipFill>
                  <pic:spPr>
                    <a:xfrm>
                      <a:off x="0" y="0"/>
                      <a:ext cx="5784850" cy="3856990"/>
                    </a:xfrm>
                    <a:prstGeom prst="rect">
                      <a:avLst/>
                    </a:prstGeom>
                  </pic:spPr>
                </pic:pic>
              </a:graphicData>
            </a:graphic>
          </wp:inline>
        </w:drawing>
      </w:r>
    </w:p>
    <w:p>
      <w:pPr>
        <w:snapToGrid w:val="0"/>
        <w:spacing w:line="360" w:lineRule="auto"/>
        <w:ind w:firstLine="600" w:firstLineChars="200"/>
        <w:rPr>
          <w:rFonts w:ascii="仿宋" w:hAnsi="仿宋" w:eastAsia="仿宋" w:cs="仿宋"/>
          <w:b/>
          <w:bCs/>
          <w:sz w:val="30"/>
          <w:szCs w:val="30"/>
        </w:rPr>
      </w:pPr>
      <w:r>
        <w:rPr>
          <w:rFonts w:hint="eastAsia" w:ascii="仿宋" w:hAnsi="仿宋" w:eastAsia="仿宋" w:cs="仿宋"/>
          <w:sz w:val="30"/>
          <w:szCs w:val="30"/>
        </w:rPr>
        <w:t>3）形成征求意见稿</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2022年</w:t>
      </w:r>
      <w:r>
        <w:rPr>
          <w:rFonts w:hint="eastAsia" w:ascii="仿宋_GB2312" w:hAnsi="仿宋_GB2312" w:eastAsia="仿宋_GB2312" w:cs="仿宋_GB2312"/>
          <w:sz w:val="32"/>
          <w:szCs w:val="32"/>
          <w:lang w:val="en-US" w:eastAsia="zh-CN"/>
        </w:rPr>
        <w:t>12</w:t>
      </w:r>
      <w:r>
        <w:rPr>
          <w:rFonts w:hint="eastAsia" w:ascii="仿宋_GB2312" w:hAnsi="仿宋_GB2312" w:eastAsia="仿宋_GB2312" w:cs="仿宋_GB2312"/>
          <w:sz w:val="32"/>
          <w:szCs w:val="32"/>
        </w:rPr>
        <w:t>月1</w:t>
      </w: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日下午，</w:t>
      </w:r>
      <w:r>
        <w:rPr>
          <w:rFonts w:hint="eastAsia" w:ascii="仿宋_GB2312" w:hAnsi="仿宋_GB2312" w:eastAsia="仿宋_GB2312" w:cs="仿宋_GB2312"/>
          <w:sz w:val="32"/>
          <w:szCs w:val="32"/>
          <w:lang w:eastAsia="zh-CN"/>
        </w:rPr>
        <w:t>两项</w:t>
      </w:r>
      <w:r>
        <w:rPr>
          <w:rFonts w:hint="eastAsia" w:ascii="仿宋_GB2312" w:hAnsi="仿宋_GB2312" w:eastAsia="仿宋_GB2312" w:cs="仿宋_GB2312"/>
          <w:sz w:val="32"/>
          <w:szCs w:val="32"/>
        </w:rPr>
        <w:t>地标</w:t>
      </w:r>
      <w:r>
        <w:rPr>
          <w:rFonts w:hint="eastAsia" w:ascii="仿宋_GB2312" w:hAnsi="仿宋_GB2312" w:eastAsia="仿宋_GB2312" w:cs="仿宋_GB2312"/>
          <w:sz w:val="32"/>
          <w:szCs w:val="32"/>
          <w:lang w:eastAsia="zh-CN"/>
        </w:rPr>
        <w:t>编制第三次工作会议</w:t>
      </w:r>
      <w:r>
        <w:rPr>
          <w:rFonts w:hint="eastAsia" w:ascii="仿宋_GB2312" w:hAnsi="仿宋_GB2312" w:eastAsia="仿宋_GB2312" w:cs="仿宋_GB2312"/>
          <w:sz w:val="32"/>
          <w:szCs w:val="32"/>
        </w:rPr>
        <w:t>在深圳市</w:t>
      </w:r>
      <w:r>
        <w:rPr>
          <w:rFonts w:hint="eastAsia" w:ascii="仿宋_GB2312" w:hAnsi="仿宋_GB2312" w:eastAsia="仿宋_GB2312" w:cs="仿宋_GB2312"/>
          <w:sz w:val="32"/>
          <w:szCs w:val="32"/>
          <w:lang w:eastAsia="zh-CN"/>
        </w:rPr>
        <w:t>新一代产业园深信投公司</w:t>
      </w:r>
      <w:r>
        <w:rPr>
          <w:rFonts w:hint="eastAsia" w:ascii="仿宋_GB2312" w:hAnsi="仿宋_GB2312" w:eastAsia="仿宋_GB2312" w:cs="仿宋_GB2312"/>
          <w:sz w:val="32"/>
          <w:szCs w:val="32"/>
          <w:lang w:val="en-US" w:eastAsia="zh-CN"/>
        </w:rPr>
        <w:t>1号会议室召开。会议</w:t>
      </w:r>
      <w:r>
        <w:rPr>
          <w:rFonts w:hint="eastAsia" w:ascii="仿宋_GB2312" w:hAnsi="仿宋_GB2312" w:eastAsia="仿宋_GB2312" w:cs="仿宋_GB2312"/>
          <w:sz w:val="32"/>
          <w:szCs w:val="32"/>
        </w:rPr>
        <w:t>对多功能智能杆网络安全、信息系统安全</w:t>
      </w:r>
      <w:r>
        <w:rPr>
          <w:rFonts w:hint="eastAsia" w:ascii="仿宋_GB2312" w:hAnsi="仿宋_GB2312" w:eastAsia="仿宋_GB2312" w:cs="仿宋_GB2312"/>
          <w:sz w:val="32"/>
          <w:szCs w:val="32"/>
          <w:lang w:eastAsia="zh-CN"/>
        </w:rPr>
        <w:t>两项地标的</w:t>
      </w:r>
      <w:r>
        <w:rPr>
          <w:rFonts w:hint="eastAsia" w:ascii="仿宋_GB2312" w:hAnsi="仿宋_GB2312" w:eastAsia="仿宋_GB2312" w:cs="仿宋_GB2312"/>
          <w:sz w:val="32"/>
          <w:szCs w:val="32"/>
          <w:lang w:val="en-US" w:eastAsia="zh-CN"/>
        </w:rPr>
        <w:t>标准草稿</w:t>
      </w:r>
      <w:r>
        <w:rPr>
          <w:rFonts w:hint="eastAsia" w:ascii="仿宋_GB2312" w:hAnsi="仿宋_GB2312" w:eastAsia="仿宋_GB2312" w:cs="仿宋_GB2312"/>
          <w:sz w:val="32"/>
          <w:szCs w:val="32"/>
        </w:rPr>
        <w:t>进行了研讨。</w:t>
      </w:r>
      <w:r>
        <w:rPr>
          <w:rFonts w:hint="eastAsia" w:ascii="仿宋_GB2312" w:hAnsi="仿宋_GB2312" w:eastAsia="仿宋_GB2312" w:cs="仿宋_GB2312"/>
          <w:sz w:val="32"/>
          <w:szCs w:val="32"/>
          <w:lang w:eastAsia="zh-CN"/>
        </w:rPr>
        <w:t>参会专家对照</w:t>
      </w:r>
      <w:r>
        <w:rPr>
          <w:rFonts w:hint="eastAsia" w:ascii="仿宋_GB2312" w:hAnsi="仿宋_GB2312" w:eastAsia="仿宋_GB2312" w:cs="仿宋_GB2312"/>
          <w:sz w:val="32"/>
          <w:szCs w:val="32"/>
          <w:lang w:val="en-US" w:eastAsia="zh-CN"/>
        </w:rPr>
        <w:t>标准草</w:t>
      </w:r>
      <w:r>
        <w:rPr>
          <w:rFonts w:hint="eastAsia" w:ascii="仿宋_GB2312" w:hAnsi="仿宋_GB2312" w:eastAsia="仿宋_GB2312" w:cs="仿宋_GB2312"/>
          <w:sz w:val="32"/>
          <w:szCs w:val="32"/>
          <w:lang w:eastAsia="zh-CN"/>
        </w:rPr>
        <w:t>稿从网络安全的等级适应范围、密码模块、网络架构、接入控制、可信计算、数据安全及系统安全的管理要求等方便展开充分研讨。本着</w:t>
      </w:r>
      <w:r>
        <w:rPr>
          <w:rFonts w:hint="eastAsia" w:ascii="仿宋_GB2312" w:hAnsi="仿宋_GB2312" w:eastAsia="仿宋_GB2312" w:cs="仿宋_GB2312"/>
          <w:sz w:val="32"/>
          <w:szCs w:val="32"/>
        </w:rPr>
        <w:t>保证标准的科学性、先进性、规范性和可操作性</w:t>
      </w:r>
      <w:r>
        <w:rPr>
          <w:rFonts w:hint="eastAsia" w:ascii="仿宋_GB2312" w:hAnsi="仿宋_GB2312" w:eastAsia="仿宋_GB2312" w:cs="仿宋_GB2312"/>
          <w:sz w:val="32"/>
          <w:szCs w:val="32"/>
          <w:lang w:eastAsia="zh-CN"/>
        </w:rPr>
        <w:t>，完成讨论稿的第三次修改</w:t>
      </w:r>
      <w:r>
        <w:rPr>
          <w:rFonts w:hint="eastAsia" w:ascii="仿宋_GB2312" w:hAnsi="仿宋_GB2312" w:eastAsia="仿宋_GB2312" w:cs="仿宋_GB2312"/>
          <w:sz w:val="32"/>
          <w:szCs w:val="32"/>
        </w:rPr>
        <w:t>。</w:t>
      </w:r>
    </w:p>
    <w:p>
      <w:pPr>
        <w:snapToGrid w:val="0"/>
        <w:spacing w:line="360" w:lineRule="auto"/>
        <w:ind w:left="0" w:leftChars="0" w:firstLine="0" w:firstLineChars="0"/>
        <w:rPr>
          <w:rFonts w:hint="eastAsia" w:ascii="仿宋_GB2312" w:hAnsi="仿宋_GB2312" w:eastAsia="仿宋_GB2312" w:cs="仿宋_GB2312"/>
          <w:i w:val="0"/>
          <w:caps w:val="0"/>
          <w:color w:val="222222"/>
          <w:spacing w:val="8"/>
          <w:sz w:val="32"/>
          <w:szCs w:val="32"/>
          <w:shd w:val="clear" w:fill="FFFFFF"/>
          <w:lang w:eastAsia="zh-CN"/>
        </w:rPr>
      </w:pPr>
      <w:r>
        <w:rPr>
          <w:rFonts w:hint="eastAsia" w:ascii="仿宋_GB2312" w:hAnsi="仿宋_GB2312" w:eastAsia="仿宋_GB2312" w:cs="仿宋_GB2312"/>
          <w:i w:val="0"/>
          <w:caps w:val="0"/>
          <w:color w:val="222222"/>
          <w:spacing w:val="8"/>
          <w:sz w:val="32"/>
          <w:szCs w:val="32"/>
          <w:shd w:val="clear" w:fill="FFFFFF"/>
          <w:lang w:eastAsia="zh-CN"/>
        </w:rPr>
        <w:drawing>
          <wp:inline distT="0" distB="0" distL="114300" distR="114300">
            <wp:extent cx="5798185" cy="3620135"/>
            <wp:effectExtent l="0" t="0" r="12065" b="18415"/>
            <wp:docPr id="5" name="图片 5" descr="微信图片_2022121321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21213211843"/>
                    <pic:cNvPicPr>
                      <a:picLocks noChangeAspect="1"/>
                    </pic:cNvPicPr>
                  </pic:nvPicPr>
                  <pic:blipFill>
                    <a:blip r:embed="rId8"/>
                    <a:stretch>
                      <a:fillRect/>
                    </a:stretch>
                  </pic:blipFill>
                  <pic:spPr>
                    <a:xfrm>
                      <a:off x="0" y="0"/>
                      <a:ext cx="5798185" cy="3620135"/>
                    </a:xfrm>
                    <a:prstGeom prst="rect">
                      <a:avLst/>
                    </a:prstGeom>
                  </pic:spPr>
                </pic:pic>
              </a:graphicData>
            </a:graphic>
          </wp:inline>
        </w:drawing>
      </w:r>
    </w:p>
    <w:p>
      <w:pPr>
        <w:snapToGrid w:val="0"/>
        <w:spacing w:line="360" w:lineRule="auto"/>
        <w:ind w:left="0" w:leftChars="0" w:firstLine="672" w:firstLineChars="200"/>
        <w:rPr>
          <w:rFonts w:hint="eastAsia" w:ascii="仿宋_GB2312" w:hAnsi="仿宋_GB2312" w:eastAsia="仿宋_GB2312" w:cs="仿宋_GB2312"/>
          <w:i w:val="0"/>
          <w:caps w:val="0"/>
          <w:color w:val="222222"/>
          <w:spacing w:val="8"/>
          <w:sz w:val="32"/>
          <w:szCs w:val="32"/>
          <w:shd w:val="clear" w:fill="FFFFFF"/>
          <w:lang w:eastAsia="zh-CN"/>
        </w:rPr>
      </w:pPr>
    </w:p>
    <w:p>
      <w:pPr>
        <w:snapToGrid w:val="0"/>
        <w:spacing w:line="360" w:lineRule="auto"/>
        <w:ind w:left="0" w:leftChars="0" w:firstLine="672" w:firstLineChars="200"/>
        <w:rPr>
          <w:rFonts w:hint="eastAsia" w:ascii="仿宋_GB2312" w:hAnsi="仿宋_GB2312" w:eastAsia="仿宋_GB2312" w:cs="仿宋_GB2312"/>
          <w:i w:val="0"/>
          <w:caps w:val="0"/>
          <w:color w:val="222222"/>
          <w:spacing w:val="8"/>
          <w:sz w:val="32"/>
          <w:szCs w:val="32"/>
          <w:shd w:val="clear" w:fill="FFFFFF"/>
          <w:lang w:eastAsia="zh-CN"/>
        </w:rPr>
      </w:pPr>
      <w:r>
        <w:rPr>
          <w:rFonts w:hint="eastAsia" w:ascii="仿宋_GB2312" w:hAnsi="仿宋_GB2312" w:eastAsia="仿宋_GB2312" w:cs="仿宋_GB2312"/>
          <w:i w:val="0"/>
          <w:caps w:val="0"/>
          <w:color w:val="222222"/>
          <w:spacing w:val="8"/>
          <w:sz w:val="32"/>
          <w:szCs w:val="32"/>
          <w:shd w:val="clear" w:fill="FFFFFF"/>
          <w:lang w:eastAsia="zh-CN"/>
        </w:rPr>
        <w:t>2023年3月</w:t>
      </w:r>
      <w:r>
        <w:rPr>
          <w:rFonts w:hint="eastAsia" w:ascii="仿宋_GB2312" w:hAnsi="仿宋_GB2312" w:eastAsia="仿宋_GB2312" w:cs="仿宋_GB2312"/>
          <w:i w:val="0"/>
          <w:caps w:val="0"/>
          <w:color w:val="FF0000"/>
          <w:spacing w:val="8"/>
          <w:sz w:val="32"/>
          <w:szCs w:val="32"/>
          <w:shd w:val="clear" w:fill="FFFFFF"/>
          <w:lang w:eastAsia="zh-CN"/>
        </w:rPr>
        <w:t>X日</w:t>
      </w:r>
      <w:r>
        <w:rPr>
          <w:rFonts w:hint="eastAsia" w:ascii="仿宋_GB2312" w:hAnsi="仿宋_GB2312" w:eastAsia="仿宋_GB2312" w:cs="仿宋_GB2312"/>
          <w:i w:val="0"/>
          <w:caps w:val="0"/>
          <w:color w:val="222222"/>
          <w:spacing w:val="8"/>
          <w:sz w:val="32"/>
          <w:szCs w:val="32"/>
          <w:shd w:val="clear" w:fill="FFFFFF"/>
          <w:lang w:eastAsia="zh-CN"/>
        </w:rPr>
        <w:t>，深圳市工业和信息化局将会后修改标准稿发给相关局征求意见，深圳市交通运输局、深圳市通信管理局、深圳市水务局、深圳市气象局、深圳大学都有书面反馈意见（详见附件1）。</w:t>
      </w:r>
    </w:p>
    <w:p>
      <w:pPr>
        <w:snapToGrid w:val="0"/>
        <w:spacing w:line="360" w:lineRule="auto"/>
        <w:ind w:left="0" w:leftChars="0" w:firstLine="0" w:firstLineChars="0"/>
        <w:rPr>
          <w:rFonts w:hint="eastAsia" w:ascii="仿宋_GB2312" w:hAnsi="仿宋_GB2312" w:eastAsia="仿宋_GB2312" w:cs="仿宋_GB2312"/>
          <w:i w:val="0"/>
          <w:caps w:val="0"/>
          <w:color w:val="222222"/>
          <w:spacing w:val="8"/>
          <w:sz w:val="32"/>
          <w:szCs w:val="32"/>
          <w:shd w:val="clear" w:fill="FFFFFF"/>
          <w:lang w:eastAsia="zh-CN"/>
        </w:rPr>
      </w:pPr>
    </w:p>
    <w:p>
      <w:pPr>
        <w:snapToGrid w:val="0"/>
        <w:spacing w:line="360" w:lineRule="auto"/>
        <w:ind w:left="0" w:leftChars="0" w:firstLine="0" w:firstLineChars="0"/>
        <w:jc w:val="center"/>
      </w:pPr>
      <w:r>
        <w:drawing>
          <wp:inline distT="0" distB="0" distL="114300" distR="114300">
            <wp:extent cx="5055235" cy="7229475"/>
            <wp:effectExtent l="0" t="0" r="12065" b="952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9"/>
                    <a:stretch>
                      <a:fillRect/>
                    </a:stretch>
                  </pic:blipFill>
                  <pic:spPr>
                    <a:xfrm>
                      <a:off x="0" y="0"/>
                      <a:ext cx="5055235" cy="7229475"/>
                    </a:xfrm>
                    <a:prstGeom prst="rect">
                      <a:avLst/>
                    </a:prstGeom>
                    <a:noFill/>
                    <a:ln>
                      <a:noFill/>
                    </a:ln>
                  </pic:spPr>
                </pic:pic>
              </a:graphicData>
            </a:graphic>
          </wp:inline>
        </w:drawing>
      </w:r>
    </w:p>
    <w:p>
      <w:pPr>
        <w:snapToGrid w:val="0"/>
        <w:spacing w:line="360" w:lineRule="auto"/>
        <w:ind w:left="0" w:leftChars="0" w:firstLine="0" w:firstLineChars="0"/>
      </w:pPr>
    </w:p>
    <w:p>
      <w:pPr>
        <w:widowControl w:val="0"/>
        <w:numPr>
          <w:ilvl w:val="0"/>
          <w:numId w:val="0"/>
        </w:numPr>
        <w:snapToGrid w:val="0"/>
        <w:spacing w:line="360" w:lineRule="auto"/>
        <w:ind w:firstLine="600" w:firstLineChars="200"/>
        <w:jc w:val="both"/>
        <w:rPr>
          <w:rFonts w:hint="eastAsia" w:ascii="仿宋" w:hAnsi="仿宋" w:eastAsia="仿宋" w:cs="仿宋"/>
          <w:sz w:val="30"/>
          <w:szCs w:val="30"/>
        </w:rPr>
      </w:pPr>
      <w:r>
        <w:rPr>
          <w:rFonts w:hint="eastAsia" w:ascii="仿宋" w:hAnsi="仿宋" w:eastAsia="仿宋" w:cs="仿宋"/>
          <w:sz w:val="30"/>
          <w:szCs w:val="30"/>
        </w:rPr>
        <w:t>在收到各个局的反馈意见后，对原稿</w:t>
      </w:r>
      <w:r>
        <w:rPr>
          <w:rFonts w:hint="eastAsia" w:ascii="仿宋" w:hAnsi="仿宋" w:eastAsia="仿宋" w:cs="仿宋"/>
          <w:sz w:val="30"/>
          <w:szCs w:val="30"/>
          <w:lang w:val="en-US" w:eastAsia="zh-CN"/>
        </w:rPr>
        <w:t>再次</w:t>
      </w:r>
      <w:r>
        <w:rPr>
          <w:rFonts w:hint="eastAsia" w:ascii="仿宋" w:hAnsi="仿宋" w:eastAsia="仿宋" w:cs="仿宋"/>
          <w:sz w:val="30"/>
          <w:szCs w:val="30"/>
        </w:rPr>
        <w:t>进行修改完善，形成</w:t>
      </w:r>
      <w:r>
        <w:rPr>
          <w:rFonts w:hint="eastAsia" w:ascii="仿宋" w:hAnsi="仿宋" w:eastAsia="仿宋" w:cs="仿宋"/>
          <w:sz w:val="30"/>
          <w:szCs w:val="30"/>
          <w:lang w:val="en-US" w:eastAsia="zh-CN"/>
        </w:rPr>
        <w:t>现在的</w:t>
      </w:r>
      <w:r>
        <w:rPr>
          <w:rFonts w:hint="eastAsia" w:ascii="仿宋" w:hAnsi="仿宋" w:eastAsia="仿宋" w:cs="仿宋"/>
          <w:sz w:val="30"/>
          <w:szCs w:val="30"/>
        </w:rPr>
        <w:t>征求意见稿。</w:t>
      </w:r>
    </w:p>
    <w:p>
      <w:pPr>
        <w:pStyle w:val="2"/>
        <w:numPr>
          <w:ilvl w:val="0"/>
          <w:numId w:val="4"/>
        </w:numPr>
        <w:snapToGrid w:val="0"/>
        <w:spacing w:before="0" w:beforeAutospacing="0" w:after="0" w:afterAutospacing="0" w:line="360" w:lineRule="auto"/>
        <w:rPr>
          <w:rFonts w:hint="eastAsia" w:ascii="仿宋" w:hAnsi="仿宋" w:cs="Times New Roman"/>
          <w:sz w:val="32"/>
          <w:szCs w:val="32"/>
        </w:rPr>
      </w:pPr>
      <w:r>
        <w:rPr>
          <w:rFonts w:hint="eastAsia" w:ascii="仿宋" w:hAnsi="仿宋" w:cs="Times New Roman"/>
          <w:sz w:val="32"/>
          <w:szCs w:val="32"/>
          <w:lang w:val="en-US" w:eastAsia="zh-CN"/>
        </w:rPr>
        <w:t>编制原则、技术</w:t>
      </w:r>
      <w:r>
        <w:rPr>
          <w:rFonts w:hint="eastAsia" w:ascii="仿宋" w:hAnsi="仿宋" w:cs="Times New Roman"/>
          <w:sz w:val="32"/>
          <w:szCs w:val="32"/>
        </w:rPr>
        <w:t>依据、国际先进标准的对标情况</w:t>
      </w:r>
    </w:p>
    <w:p>
      <w:pPr>
        <w:pStyle w:val="3"/>
        <w:snapToGrid w:val="0"/>
        <w:spacing w:before="0" w:beforeAutospacing="0" w:after="0" w:afterAutospacing="0" w:line="360" w:lineRule="auto"/>
        <w:ind w:firstLine="602" w:firstLineChars="200"/>
        <w:rPr>
          <w:rFonts w:hint="eastAsia" w:ascii="仿宋" w:hAnsi="仿宋" w:cs="仿宋"/>
          <w:sz w:val="30"/>
          <w:szCs w:val="30"/>
        </w:rPr>
      </w:pPr>
      <w:r>
        <w:rPr>
          <w:rFonts w:hint="eastAsia" w:ascii="仿宋" w:hAnsi="仿宋" w:cs="仿宋"/>
          <w:sz w:val="30"/>
          <w:szCs w:val="30"/>
        </w:rPr>
        <w:t>1、</w:t>
      </w:r>
      <w:r>
        <w:rPr>
          <w:rFonts w:hint="eastAsia" w:ascii="仿宋" w:hAnsi="仿宋" w:cs="Times New Roman"/>
          <w:sz w:val="32"/>
          <w:szCs w:val="32"/>
          <w:lang w:val="en-US" w:eastAsia="zh-CN"/>
        </w:rPr>
        <w:t>编制原则</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遵循“科学、实用、适度”的原则，既考虑标准的前瞻性又顾及深圳市多功能智能杆网络安全等级保护发展的实际情况，充分调研深圳市多功能智能杆信息系统安全管理</w:t>
      </w:r>
      <w:r>
        <w:rPr>
          <w:rFonts w:hint="eastAsia" w:ascii="仿宋" w:hAnsi="仿宋" w:eastAsia="仿宋" w:cs="仿宋"/>
          <w:sz w:val="30"/>
          <w:szCs w:val="30"/>
          <w:lang w:val="en-US" w:eastAsia="zh-CN"/>
        </w:rPr>
        <w:t>的实际</w:t>
      </w:r>
      <w:r>
        <w:rPr>
          <w:rFonts w:hint="eastAsia" w:ascii="仿宋" w:hAnsi="仿宋" w:eastAsia="仿宋" w:cs="仿宋"/>
          <w:sz w:val="30"/>
          <w:szCs w:val="30"/>
        </w:rPr>
        <w:t>情况，</w:t>
      </w:r>
      <w:r>
        <w:rPr>
          <w:rFonts w:hint="eastAsia" w:ascii="仿宋" w:hAnsi="仿宋" w:eastAsia="仿宋" w:cs="仿宋"/>
          <w:sz w:val="30"/>
          <w:szCs w:val="30"/>
          <w:lang w:val="en-US" w:eastAsia="zh-CN"/>
        </w:rPr>
        <w:t>信息安全的重要性主要体现在信息内容安全、信息系统安全、信息网络安全、信息基础设施安全等等方面。信息内容的被泄露、被假冒、被伪造等，信息系统被攻击、被入侵、被染毒，信息网络被堵塞、被中断、被致瘫等，信息基础设施被损伤、被破坏、被损毁等等，这些都是重要的信息安全事件，都应该也必须引起高度重视和迅速解决。本文件以安全管理要素作为描述安全管理要求的基本组件。</w:t>
      </w:r>
    </w:p>
    <w:p>
      <w:pPr>
        <w:pStyle w:val="3"/>
        <w:snapToGrid w:val="0"/>
        <w:spacing w:before="0" w:beforeAutospacing="0" w:after="0" w:afterAutospacing="0" w:line="360" w:lineRule="auto"/>
        <w:ind w:firstLine="602" w:firstLineChars="200"/>
        <w:rPr>
          <w:rFonts w:ascii="仿宋" w:hAnsi="仿宋" w:cs="仿宋"/>
          <w:sz w:val="30"/>
          <w:szCs w:val="30"/>
        </w:rPr>
      </w:pPr>
      <w:r>
        <w:rPr>
          <w:rFonts w:hint="eastAsia" w:ascii="仿宋" w:hAnsi="仿宋" w:cs="仿宋"/>
          <w:sz w:val="30"/>
          <w:szCs w:val="30"/>
          <w:lang w:val="en-US" w:eastAsia="zh-CN"/>
        </w:rPr>
        <w:t>2、技术</w:t>
      </w:r>
      <w:r>
        <w:rPr>
          <w:rFonts w:hint="eastAsia" w:ascii="仿宋" w:hAnsi="仿宋" w:cs="仿宋"/>
          <w:sz w:val="30"/>
          <w:szCs w:val="30"/>
        </w:rPr>
        <w:t>依据</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《中华人民共和国网络安全法》</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《中华人民共和国数据安全法》</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《中华人民共和国个人信息保护法》</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GB/T 35273-2020《信息安全技术 个人信息安全规范》</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GB/T 37988-2019《信息安全技术 数据安全能力成熟度模型》</w:t>
      </w:r>
    </w:p>
    <w:p>
      <w:pPr>
        <w:pStyle w:val="3"/>
        <w:snapToGrid w:val="0"/>
        <w:spacing w:before="0" w:beforeAutospacing="0" w:after="0" w:afterAutospacing="0" w:line="360" w:lineRule="auto"/>
        <w:ind w:firstLine="602" w:firstLineChars="200"/>
        <w:rPr>
          <w:rFonts w:ascii="仿宋" w:hAnsi="仿宋" w:cs="仿宋"/>
          <w:sz w:val="30"/>
          <w:szCs w:val="30"/>
        </w:rPr>
      </w:pPr>
      <w:r>
        <w:rPr>
          <w:rFonts w:hint="eastAsia" w:ascii="仿宋" w:hAnsi="仿宋" w:cs="仿宋"/>
          <w:sz w:val="30"/>
          <w:szCs w:val="30"/>
          <w:lang w:val="en-US" w:eastAsia="zh-CN"/>
        </w:rPr>
        <w:t>3</w:t>
      </w:r>
      <w:r>
        <w:rPr>
          <w:rFonts w:hint="eastAsia" w:ascii="仿宋" w:hAnsi="仿宋" w:cs="仿宋"/>
          <w:sz w:val="30"/>
          <w:szCs w:val="30"/>
        </w:rPr>
        <w:t>、与国内领先、国际先进标准的对标情况</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目前在国</w:t>
      </w:r>
      <w:r>
        <w:rPr>
          <w:rFonts w:hint="eastAsia" w:ascii="仿宋" w:hAnsi="仿宋" w:eastAsia="仿宋" w:cs="仿宋"/>
          <w:sz w:val="30"/>
          <w:szCs w:val="30"/>
          <w:lang w:val="en-US" w:eastAsia="zh-CN"/>
        </w:rPr>
        <w:t>内</w:t>
      </w:r>
      <w:r>
        <w:rPr>
          <w:rFonts w:hint="eastAsia" w:ascii="仿宋" w:hAnsi="仿宋" w:eastAsia="仿宋" w:cs="仿宋"/>
          <w:sz w:val="30"/>
          <w:szCs w:val="30"/>
        </w:rPr>
        <w:t>外，信息系统安全</w:t>
      </w:r>
      <w:r>
        <w:rPr>
          <w:rFonts w:hint="eastAsia" w:ascii="仿宋" w:hAnsi="仿宋" w:eastAsia="仿宋" w:cs="仿宋"/>
          <w:sz w:val="30"/>
          <w:szCs w:val="30"/>
          <w:lang w:val="en-US" w:eastAsia="zh-CN"/>
        </w:rPr>
        <w:t>管理</w:t>
      </w:r>
      <w:r>
        <w:rPr>
          <w:rFonts w:hint="eastAsia" w:ascii="仿宋" w:hAnsi="仿宋" w:eastAsia="仿宋" w:cs="仿宋"/>
          <w:sz w:val="30"/>
          <w:szCs w:val="30"/>
        </w:rPr>
        <w:t>已有相应的标准，未查到“多功能智能杆  信息系统安全管理要求”的相关标准。我们国家则在国家、行业、地方、团体标准等各个层面皆有信息系统安全管理</w:t>
      </w:r>
      <w:r>
        <w:rPr>
          <w:rFonts w:hint="eastAsia" w:ascii="仿宋" w:hAnsi="仿宋" w:eastAsia="仿宋" w:cs="仿宋"/>
          <w:sz w:val="30"/>
          <w:szCs w:val="30"/>
          <w:lang w:val="en-US" w:eastAsia="zh-CN"/>
        </w:rPr>
        <w:t>的</w:t>
      </w:r>
      <w:r>
        <w:rPr>
          <w:rFonts w:hint="eastAsia" w:ascii="仿宋" w:hAnsi="仿宋" w:eastAsia="仿宋" w:cs="仿宋"/>
          <w:sz w:val="30"/>
          <w:szCs w:val="30"/>
        </w:rPr>
        <w:t>发布</w:t>
      </w:r>
      <w:r>
        <w:rPr>
          <w:rFonts w:hint="eastAsia" w:ascii="仿宋" w:hAnsi="仿宋" w:eastAsia="仿宋" w:cs="仿宋"/>
          <w:sz w:val="30"/>
          <w:szCs w:val="30"/>
          <w:lang w:eastAsia="zh-CN"/>
        </w:rPr>
        <w:t>，</w:t>
      </w:r>
      <w:r>
        <w:rPr>
          <w:rFonts w:hint="eastAsia" w:ascii="仿宋" w:hAnsi="仿宋" w:eastAsia="仿宋" w:cs="仿宋"/>
          <w:sz w:val="30"/>
          <w:szCs w:val="30"/>
          <w:lang w:val="en-US" w:eastAsia="zh-CN"/>
        </w:rPr>
        <w:t>但</w:t>
      </w:r>
      <w:r>
        <w:rPr>
          <w:rFonts w:hint="eastAsia" w:ascii="仿宋" w:hAnsi="仿宋" w:eastAsia="仿宋" w:cs="仿宋"/>
          <w:sz w:val="30"/>
          <w:szCs w:val="30"/>
        </w:rPr>
        <w:t>基本上都是信息系统安全管理通用技术标准，本标准与上述标准侧重点不同：主要是针对智慧城市信息基础设施中多功能智能杆的信息系统安全管理。深圳在多功能智能杆的实践探索，无论从深度和广度上都已经远超出</w:t>
      </w:r>
      <w:r>
        <w:rPr>
          <w:rFonts w:hint="eastAsia" w:ascii="仿宋" w:hAnsi="仿宋" w:eastAsia="仿宋" w:cs="仿宋"/>
          <w:sz w:val="30"/>
          <w:szCs w:val="30"/>
          <w:lang w:val="en-US" w:eastAsia="zh-CN"/>
        </w:rPr>
        <w:t>国内外</w:t>
      </w:r>
      <w:r>
        <w:rPr>
          <w:rFonts w:hint="eastAsia" w:ascii="仿宋" w:hAnsi="仿宋" w:eastAsia="仿宋" w:cs="仿宋"/>
          <w:sz w:val="30"/>
          <w:szCs w:val="30"/>
        </w:rPr>
        <w:t>标准所述的范围。本地方标准将在实践探索中的经验融入到条款中，比</w:t>
      </w:r>
      <w:r>
        <w:rPr>
          <w:rFonts w:hint="eastAsia" w:ascii="仿宋" w:hAnsi="仿宋" w:eastAsia="仿宋" w:cs="仿宋"/>
          <w:sz w:val="30"/>
          <w:szCs w:val="30"/>
          <w:lang w:val="en-US" w:eastAsia="zh-CN"/>
        </w:rPr>
        <w:t>国内外的信息系统安全管理</w:t>
      </w:r>
      <w:r>
        <w:rPr>
          <w:rFonts w:hint="eastAsia" w:ascii="仿宋" w:hAnsi="仿宋" w:eastAsia="仿宋" w:cs="仿宋"/>
          <w:sz w:val="30"/>
          <w:szCs w:val="30"/>
        </w:rPr>
        <w:t>标准的内容细化和精准。</w:t>
      </w:r>
      <w:bookmarkStart w:id="2" w:name="_Toc11416291"/>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rPr>
        <w:t>国际标准</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lang w:val="en-US" w:eastAsia="zh-CN"/>
        </w:rPr>
        <w:t>1、</w:t>
      </w:r>
      <w:r>
        <w:rPr>
          <w:rFonts w:hint="eastAsia" w:ascii="仿宋" w:hAnsi="仿宋" w:eastAsia="仿宋" w:cs="仿宋"/>
          <w:b w:val="0"/>
          <w:bCs w:val="0"/>
          <w:sz w:val="30"/>
          <w:szCs w:val="30"/>
        </w:rPr>
        <w:t>ISO/IEC 17799-2005信息技术.信息安全管理用实施规程</w:t>
      </w:r>
    </w:p>
    <w:p>
      <w:pPr>
        <w:numPr>
          <w:ilvl w:val="0"/>
          <w:numId w:val="0"/>
        </w:numPr>
        <w:snapToGrid w:val="0"/>
        <w:spacing w:line="360" w:lineRule="auto"/>
        <w:ind w:firstLine="602" w:firstLineChars="200"/>
        <w:rPr>
          <w:rFonts w:hint="eastAsia" w:ascii="仿宋" w:hAnsi="仿宋" w:eastAsia="仿宋" w:cs="仿宋"/>
          <w:b w:val="0"/>
          <w:bCs w:val="0"/>
          <w:sz w:val="30"/>
          <w:szCs w:val="30"/>
        </w:rPr>
      </w:pPr>
      <w:r>
        <w:rPr>
          <w:rFonts w:hint="eastAsia" w:ascii="仿宋" w:hAnsi="仿宋" w:eastAsia="仿宋" w:cs="仿宋"/>
          <w:b/>
          <w:bCs/>
          <w:sz w:val="30"/>
          <w:szCs w:val="30"/>
        </w:rPr>
        <w:t>国家标准</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lang w:val="en-US" w:eastAsia="zh-CN"/>
        </w:rPr>
        <w:t>1、</w:t>
      </w:r>
      <w:r>
        <w:rPr>
          <w:rFonts w:hint="eastAsia" w:ascii="仿宋" w:hAnsi="仿宋" w:eastAsia="仿宋" w:cs="仿宋"/>
          <w:b w:val="0"/>
          <w:bCs w:val="0"/>
          <w:sz w:val="30"/>
          <w:szCs w:val="30"/>
        </w:rPr>
        <w:t>GB/T 20269-2006 信息安全技术 信息系统安全管理要求</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lang w:val="en-US" w:eastAsia="zh-CN"/>
        </w:rPr>
        <w:t>2、</w:t>
      </w:r>
      <w:r>
        <w:rPr>
          <w:rFonts w:hint="eastAsia" w:ascii="仿宋" w:hAnsi="仿宋" w:eastAsia="仿宋" w:cs="仿宋"/>
          <w:b w:val="0"/>
          <w:bCs w:val="0"/>
          <w:sz w:val="30"/>
          <w:szCs w:val="30"/>
        </w:rPr>
        <w:t>GB/T 22239-2019 信息安全技术 网络安全等级保护基本要求</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lang w:val="en-US" w:eastAsia="zh-CN"/>
        </w:rPr>
        <w:t>3、</w:t>
      </w:r>
      <w:r>
        <w:rPr>
          <w:rFonts w:hint="eastAsia" w:ascii="仿宋" w:hAnsi="仿宋" w:eastAsia="仿宋" w:cs="仿宋"/>
          <w:b w:val="0"/>
          <w:bCs w:val="0"/>
          <w:sz w:val="30"/>
          <w:szCs w:val="30"/>
        </w:rPr>
        <w:t>GB/T 22240-2020 信息安全技术 网络安全等级保护定级指南</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lang w:val="en-US" w:eastAsia="zh-CN"/>
        </w:rPr>
        <w:t>4、</w:t>
      </w:r>
      <w:r>
        <w:rPr>
          <w:rFonts w:hint="eastAsia" w:ascii="仿宋" w:hAnsi="仿宋" w:eastAsia="仿宋" w:cs="仿宋"/>
          <w:b w:val="0"/>
          <w:bCs w:val="0"/>
          <w:sz w:val="30"/>
          <w:szCs w:val="30"/>
        </w:rPr>
        <w:t>GB/T 25058-2019 信息安全技术 网络安全等级保护实施指南</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rPr>
        <w:t>5、GB/T 25070-2019 信息安全技术 网络安全等级保护安全设计技术要求</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rPr>
        <w:t>6、GB/T 28448-2019 信息安全技术 网络安全等级保护测评要求</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rPr>
        <w:t>7、GB/T 28449-2018 信息安全技术 网络安全等级保护测评过程指南8、GB/T 28453-2012 信息安全技术 信息系统安全管理评估要求</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rPr>
        <w:t>9、GB/T 34990-2017信息安全技术 信息系统安全管理平台技术要求和测试评价方法</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rPr>
        <w:t>10、GB/T 36627-2018 信息安全技术 网络安全等级保护测试评估技术指南</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rPr>
        <w:t>11、GB/T 36958-2018 信息安全技术 网络安全等级保护安全管理中心技术要求</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rPr>
        <w:t>12、GB/T 36959-2018 信息安全技术 网络安全等级保护测评机构能力要求和评估规范</w:t>
      </w:r>
    </w:p>
    <w:p>
      <w:pPr>
        <w:numPr>
          <w:ilvl w:val="0"/>
          <w:numId w:val="0"/>
        </w:numPr>
        <w:snapToGrid w:val="0"/>
        <w:spacing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rPr>
        <w:t>13、GB/T 37094-2018信息安全技术 办公信息系统安全管理要求</w:t>
      </w:r>
    </w:p>
    <w:p>
      <w:pPr>
        <w:numPr>
          <w:ilvl w:val="0"/>
          <w:numId w:val="0"/>
        </w:numPr>
        <w:snapToGrid w:val="0"/>
        <w:spacing w:line="360" w:lineRule="auto"/>
        <w:rPr>
          <w:rFonts w:hint="eastAsia" w:ascii="仿宋" w:hAnsi="仿宋" w:eastAsia="仿宋" w:cs="仿宋"/>
          <w:b/>
          <w:bCs/>
          <w:sz w:val="30"/>
          <w:szCs w:val="30"/>
        </w:rPr>
      </w:pPr>
      <w:r>
        <w:rPr>
          <w:rFonts w:hint="eastAsia" w:ascii="仿宋" w:hAnsi="仿宋" w:eastAsia="仿宋" w:cs="仿宋"/>
          <w:b/>
          <w:bCs/>
          <w:sz w:val="30"/>
          <w:szCs w:val="30"/>
        </w:rPr>
        <w:t>行业标准</w:t>
      </w:r>
    </w:p>
    <w:p>
      <w:pPr>
        <w:pStyle w:val="2"/>
        <w:snapToGrid w:val="0"/>
        <w:spacing w:before="0" w:beforeAutospacing="0" w:after="0" w:afterAutospacing="0"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rPr>
        <w:t>1、GA/T 713-2007 信息安全技术 信息系统安全管理测评</w:t>
      </w:r>
    </w:p>
    <w:p>
      <w:pPr>
        <w:pStyle w:val="2"/>
        <w:snapToGrid w:val="0"/>
        <w:spacing w:before="0" w:beforeAutospacing="0" w:after="0" w:afterAutospacing="0" w:line="360" w:lineRule="auto"/>
        <w:rPr>
          <w:rFonts w:hint="eastAsia" w:ascii="仿宋" w:hAnsi="仿宋" w:eastAsia="仿宋" w:cs="仿宋"/>
          <w:b w:val="0"/>
          <w:bCs w:val="0"/>
          <w:sz w:val="30"/>
          <w:szCs w:val="30"/>
        </w:rPr>
      </w:pPr>
      <w:r>
        <w:rPr>
          <w:rFonts w:hint="eastAsia" w:ascii="仿宋" w:hAnsi="仿宋" w:eastAsia="仿宋" w:cs="仿宋"/>
          <w:b w:val="0"/>
          <w:bCs w:val="0"/>
          <w:sz w:val="30"/>
          <w:szCs w:val="30"/>
        </w:rPr>
        <w:t>2、MH/T 0031-2009 民用航空运输机场信息系统安全管理规范</w:t>
      </w:r>
      <w:r>
        <w:rPr>
          <w:rFonts w:hint="eastAsia" w:ascii="仿宋" w:hAnsi="仿宋" w:eastAsia="仿宋" w:cs="仿宋"/>
          <w:b w:val="0"/>
          <w:bCs w:val="0"/>
          <w:sz w:val="30"/>
          <w:szCs w:val="30"/>
        </w:rPr>
        <w:tab/>
      </w:r>
    </w:p>
    <w:p>
      <w:pPr>
        <w:rPr>
          <w:rFonts w:hint="eastAsia" w:ascii="仿宋" w:hAnsi="仿宋" w:eastAsia="仿宋" w:cs="仿宋"/>
          <w:b w:val="0"/>
          <w:bCs w:val="0"/>
          <w:sz w:val="30"/>
          <w:szCs w:val="30"/>
        </w:rPr>
      </w:pPr>
      <w:r>
        <w:rPr>
          <w:rFonts w:hint="eastAsia" w:ascii="仿宋" w:hAnsi="仿宋" w:eastAsia="仿宋" w:cs="仿宋"/>
          <w:b w:val="0"/>
          <w:bCs w:val="0"/>
          <w:sz w:val="30"/>
          <w:szCs w:val="30"/>
        </w:rPr>
        <w:t>3、SY/T 5231-2010 石油工业计算机信息系统安全管理规范</w:t>
      </w:r>
    </w:p>
    <w:p>
      <w:pPr>
        <w:pStyle w:val="2"/>
        <w:snapToGrid w:val="0"/>
        <w:spacing w:before="0" w:beforeAutospacing="0" w:after="0" w:afterAutospacing="0" w:line="360" w:lineRule="auto"/>
        <w:rPr>
          <w:rFonts w:hint="eastAsia" w:ascii="仿宋" w:hAnsi="仿宋" w:cs="Times New Roman"/>
          <w:sz w:val="32"/>
          <w:szCs w:val="32"/>
        </w:rPr>
      </w:pPr>
    </w:p>
    <w:p>
      <w:pPr>
        <w:pStyle w:val="2"/>
        <w:snapToGrid w:val="0"/>
        <w:spacing w:before="0" w:beforeAutospacing="0" w:after="0" w:afterAutospacing="0" w:line="360" w:lineRule="auto"/>
        <w:rPr>
          <w:rFonts w:ascii="仿宋" w:hAnsi="仿宋" w:cs="Times New Roman"/>
          <w:sz w:val="32"/>
          <w:szCs w:val="32"/>
        </w:rPr>
      </w:pPr>
      <w:r>
        <w:rPr>
          <w:rFonts w:hint="eastAsia" w:ascii="仿宋" w:hAnsi="仿宋" w:cs="Times New Roman"/>
          <w:sz w:val="32"/>
          <w:szCs w:val="32"/>
        </w:rPr>
        <w:t>四</w:t>
      </w:r>
      <w:r>
        <w:rPr>
          <w:rFonts w:ascii="仿宋" w:hAnsi="仿宋" w:cs="Times New Roman"/>
          <w:sz w:val="32"/>
          <w:szCs w:val="32"/>
        </w:rPr>
        <w:t>、</w:t>
      </w:r>
      <w:bookmarkEnd w:id="2"/>
      <w:r>
        <w:rPr>
          <w:rFonts w:hint="eastAsia" w:ascii="仿宋" w:hAnsi="仿宋" w:cs="仿宋"/>
          <w:sz w:val="32"/>
          <w:szCs w:val="32"/>
        </w:rPr>
        <w:t>各章节</w:t>
      </w:r>
      <w:r>
        <w:rPr>
          <w:rFonts w:hint="eastAsia" w:ascii="仿宋" w:hAnsi="仿宋" w:cs="Times New Roman"/>
          <w:sz w:val="32"/>
          <w:szCs w:val="32"/>
        </w:rPr>
        <w:t>主要条款的说明</w:t>
      </w:r>
    </w:p>
    <w:p>
      <w:pPr>
        <w:snapToGrid w:val="0"/>
        <w:spacing w:line="360" w:lineRule="auto"/>
        <w:ind w:firstLine="600" w:firstLineChars="200"/>
        <w:rPr>
          <w:rFonts w:hint="eastAsia" w:ascii="仿宋" w:hAnsi="仿宋" w:eastAsia="仿宋" w:cs="仿宋"/>
          <w:sz w:val="30"/>
          <w:szCs w:val="30"/>
          <w:lang w:eastAsia="zh-CN"/>
        </w:rPr>
      </w:pPr>
      <w:r>
        <w:rPr>
          <w:rFonts w:hint="eastAsia" w:ascii="仿宋" w:hAnsi="仿宋" w:eastAsia="仿宋" w:cs="仿宋"/>
          <w:sz w:val="30"/>
          <w:szCs w:val="30"/>
        </w:rPr>
        <w:t>本标准包括</w:t>
      </w:r>
      <w:r>
        <w:rPr>
          <w:rFonts w:hint="eastAsia" w:ascii="仿宋" w:hAnsi="仿宋" w:eastAsia="仿宋" w:cs="仿宋"/>
          <w:sz w:val="30"/>
          <w:szCs w:val="30"/>
          <w:lang w:val="en-US" w:eastAsia="zh-CN"/>
        </w:rPr>
        <w:t>7</w:t>
      </w:r>
      <w:r>
        <w:rPr>
          <w:rFonts w:hint="eastAsia" w:ascii="仿宋" w:hAnsi="仿宋" w:eastAsia="仿宋" w:cs="仿宋"/>
          <w:sz w:val="30"/>
          <w:szCs w:val="30"/>
        </w:rPr>
        <w:t>个章节分别为范围</w:t>
      </w:r>
      <w:r>
        <w:rPr>
          <w:rFonts w:hint="eastAsia" w:ascii="仿宋" w:hAnsi="仿宋" w:eastAsia="仿宋" w:cs="仿宋"/>
          <w:sz w:val="30"/>
          <w:szCs w:val="30"/>
          <w:lang w:eastAsia="zh-CN"/>
        </w:rPr>
        <w:t>，</w:t>
      </w:r>
      <w:r>
        <w:rPr>
          <w:rFonts w:hint="eastAsia" w:ascii="仿宋" w:hAnsi="仿宋" w:eastAsia="仿宋" w:cs="仿宋"/>
          <w:sz w:val="30"/>
          <w:szCs w:val="30"/>
        </w:rPr>
        <w:t>规范性引用文件</w:t>
      </w:r>
      <w:r>
        <w:rPr>
          <w:rFonts w:hint="eastAsia" w:ascii="仿宋" w:hAnsi="仿宋" w:eastAsia="仿宋" w:cs="仿宋"/>
          <w:sz w:val="30"/>
          <w:szCs w:val="30"/>
          <w:lang w:eastAsia="zh-CN"/>
        </w:rPr>
        <w:t>，</w:t>
      </w:r>
      <w:r>
        <w:rPr>
          <w:rFonts w:hint="eastAsia" w:ascii="仿宋" w:hAnsi="仿宋" w:eastAsia="仿宋" w:cs="仿宋"/>
          <w:sz w:val="30"/>
          <w:szCs w:val="30"/>
        </w:rPr>
        <w:t>术语和定义</w:t>
      </w:r>
      <w:r>
        <w:rPr>
          <w:rFonts w:hint="eastAsia" w:ascii="仿宋" w:hAnsi="仿宋" w:eastAsia="仿宋" w:cs="仿宋"/>
          <w:sz w:val="30"/>
          <w:szCs w:val="30"/>
          <w:lang w:eastAsia="zh-CN"/>
        </w:rPr>
        <w:t>，</w:t>
      </w:r>
      <w:r>
        <w:rPr>
          <w:rFonts w:hint="eastAsia" w:ascii="仿宋" w:hAnsi="仿宋" w:eastAsia="仿宋" w:cs="仿宋"/>
          <w:sz w:val="30"/>
          <w:szCs w:val="30"/>
        </w:rPr>
        <w:t>信息系统安全管理内容、原则、策略和制度</w:t>
      </w:r>
      <w:r>
        <w:rPr>
          <w:rFonts w:hint="eastAsia" w:ascii="仿宋" w:hAnsi="仿宋" w:eastAsia="仿宋" w:cs="仿宋"/>
          <w:sz w:val="30"/>
          <w:szCs w:val="30"/>
          <w:lang w:eastAsia="zh-CN"/>
        </w:rPr>
        <w:t>，</w:t>
      </w:r>
      <w:r>
        <w:rPr>
          <w:rFonts w:hint="eastAsia" w:ascii="仿宋" w:hAnsi="仿宋" w:eastAsia="仿宋" w:cs="仿宋"/>
          <w:sz w:val="30"/>
          <w:szCs w:val="30"/>
        </w:rPr>
        <w:t>信息系统安全管理机构建设和人员管理</w:t>
      </w:r>
      <w:r>
        <w:rPr>
          <w:rFonts w:hint="eastAsia" w:ascii="仿宋" w:hAnsi="仿宋" w:eastAsia="仿宋" w:cs="仿宋"/>
          <w:sz w:val="30"/>
          <w:szCs w:val="30"/>
          <w:lang w:eastAsia="zh-CN"/>
        </w:rPr>
        <w:t>，</w:t>
      </w:r>
      <w:r>
        <w:rPr>
          <w:rFonts w:hint="eastAsia" w:ascii="仿宋" w:hAnsi="仿宋" w:eastAsia="仿宋" w:cs="仿宋"/>
          <w:sz w:val="30"/>
          <w:szCs w:val="30"/>
        </w:rPr>
        <w:t>信息系统安全管理风险控制</w:t>
      </w:r>
      <w:r>
        <w:rPr>
          <w:rFonts w:hint="eastAsia" w:ascii="仿宋" w:hAnsi="仿宋" w:eastAsia="仿宋" w:cs="仿宋"/>
          <w:sz w:val="30"/>
          <w:szCs w:val="30"/>
          <w:lang w:eastAsia="zh-CN"/>
        </w:rPr>
        <w:t>，</w:t>
      </w:r>
      <w:r>
        <w:rPr>
          <w:rFonts w:hint="eastAsia" w:ascii="仿宋" w:hAnsi="仿宋" w:eastAsia="仿宋" w:cs="仿宋"/>
          <w:sz w:val="30"/>
          <w:szCs w:val="30"/>
        </w:rPr>
        <w:t>信息系统安全管理通用要求</w:t>
      </w:r>
      <w:r>
        <w:rPr>
          <w:rFonts w:hint="eastAsia" w:ascii="仿宋" w:hAnsi="仿宋" w:eastAsia="仿宋" w:cs="仿宋"/>
          <w:sz w:val="30"/>
          <w:szCs w:val="30"/>
          <w:lang w:eastAsia="zh-CN"/>
        </w:rPr>
        <w:t>。</w:t>
      </w:r>
    </w:p>
    <w:p>
      <w:pPr>
        <w:snapToGrid w:val="0"/>
        <w:spacing w:line="360" w:lineRule="auto"/>
        <w:ind w:firstLine="602" w:firstLineChars="200"/>
        <w:rPr>
          <w:rFonts w:ascii="仿宋" w:hAnsi="仿宋" w:eastAsia="仿宋" w:cs="仿宋"/>
          <w:b/>
          <w:bCs/>
          <w:sz w:val="30"/>
          <w:szCs w:val="30"/>
        </w:rPr>
      </w:pPr>
      <w:r>
        <w:rPr>
          <w:rFonts w:hint="eastAsia" w:ascii="仿宋" w:hAnsi="仿宋" w:eastAsia="仿宋" w:cs="仿宋"/>
          <w:b/>
          <w:bCs/>
          <w:sz w:val="30"/>
          <w:szCs w:val="30"/>
        </w:rPr>
        <w:t>3 术语和定义</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lang w:val="en-US" w:eastAsia="zh-CN"/>
        </w:rPr>
        <w:t>3.1</w:t>
      </w:r>
      <w:r>
        <w:rPr>
          <w:rFonts w:hint="eastAsia" w:ascii="仿宋" w:hAnsi="仿宋" w:eastAsia="仿宋" w:cs="仿宋"/>
          <w:sz w:val="30"/>
          <w:szCs w:val="30"/>
        </w:rPr>
        <w:t>完整性</w:t>
      </w:r>
      <w:r>
        <w:rPr>
          <w:rFonts w:hint="eastAsia" w:ascii="仿宋" w:hAnsi="仿宋" w:eastAsia="仿宋" w:cs="仿宋"/>
          <w:sz w:val="30"/>
          <w:szCs w:val="30"/>
          <w:lang w:eastAsia="zh-CN"/>
        </w:rPr>
        <w:t>。</w:t>
      </w:r>
      <w:r>
        <w:rPr>
          <w:rFonts w:hint="eastAsia" w:ascii="仿宋" w:hAnsi="仿宋" w:eastAsia="仿宋" w:cs="仿宋"/>
          <w:sz w:val="30"/>
          <w:szCs w:val="30"/>
        </w:rPr>
        <w:t>包括数据完整性和系统完整性。数据完整性表征数据所具有的特性，即无论数据形式作何变化，数据的准确性和一致性均保持不变的程度；系统完整性表征系统在防止非授权用户修改或使用资源和防止授权用户不正确地修改或使用资源的情况下，系统能履行其操作目的的品质。</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lang w:val="en-US" w:eastAsia="zh-CN"/>
        </w:rPr>
        <w:t>3.2</w:t>
      </w:r>
      <w:r>
        <w:rPr>
          <w:rFonts w:hint="eastAsia" w:ascii="仿宋" w:hAnsi="仿宋" w:eastAsia="仿宋" w:cs="仿宋"/>
          <w:sz w:val="30"/>
          <w:szCs w:val="30"/>
        </w:rPr>
        <w:t>可用性</w:t>
      </w:r>
      <w:r>
        <w:rPr>
          <w:rFonts w:hint="eastAsia" w:ascii="仿宋" w:hAnsi="仿宋" w:eastAsia="仿宋" w:cs="仿宋"/>
          <w:sz w:val="30"/>
          <w:szCs w:val="30"/>
          <w:lang w:eastAsia="zh-CN"/>
        </w:rPr>
        <w:t>。</w:t>
      </w:r>
      <w:r>
        <w:rPr>
          <w:rFonts w:hint="eastAsia" w:ascii="仿宋" w:hAnsi="仿宋" w:eastAsia="仿宋" w:cs="仿宋"/>
          <w:sz w:val="30"/>
          <w:szCs w:val="30"/>
        </w:rPr>
        <w:t>表征数据或系统根据授权实体的请求可被访问与使用程度的安全属性。</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lang w:val="en-US" w:eastAsia="zh-CN"/>
        </w:rPr>
        <w:t>3.3</w:t>
      </w:r>
      <w:r>
        <w:rPr>
          <w:rFonts w:hint="eastAsia" w:ascii="仿宋" w:hAnsi="仿宋" w:eastAsia="仿宋" w:cs="仿宋"/>
          <w:sz w:val="30"/>
          <w:szCs w:val="30"/>
        </w:rPr>
        <w:t>访问控制</w:t>
      </w:r>
      <w:r>
        <w:rPr>
          <w:rFonts w:hint="eastAsia" w:ascii="仿宋" w:hAnsi="仿宋" w:eastAsia="仿宋" w:cs="仿宋"/>
          <w:sz w:val="30"/>
          <w:szCs w:val="30"/>
          <w:lang w:eastAsia="zh-CN"/>
        </w:rPr>
        <w:t>。</w:t>
      </w:r>
      <w:r>
        <w:rPr>
          <w:rFonts w:hint="eastAsia" w:ascii="仿宋" w:hAnsi="仿宋" w:eastAsia="仿宋" w:cs="仿宋"/>
          <w:sz w:val="30"/>
          <w:szCs w:val="30"/>
        </w:rPr>
        <w:t>按确定的规则，对实体之间的访问活动进行控制的安全机制，能防止对资源的未授权使用。</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lang w:val="en-US" w:eastAsia="zh-CN"/>
        </w:rPr>
        <w:t>3.4</w:t>
      </w:r>
      <w:r>
        <w:rPr>
          <w:rFonts w:hint="eastAsia" w:ascii="仿宋" w:hAnsi="仿宋" w:eastAsia="仿宋" w:cs="仿宋"/>
          <w:sz w:val="30"/>
          <w:szCs w:val="30"/>
        </w:rPr>
        <w:t>安全审计</w:t>
      </w:r>
      <w:r>
        <w:rPr>
          <w:rFonts w:hint="eastAsia" w:ascii="仿宋" w:hAnsi="仿宋" w:eastAsia="仿宋" w:cs="仿宋"/>
          <w:sz w:val="30"/>
          <w:szCs w:val="30"/>
          <w:lang w:eastAsia="zh-CN"/>
        </w:rPr>
        <w:t>。</w:t>
      </w:r>
      <w:r>
        <w:rPr>
          <w:rFonts w:hint="eastAsia" w:ascii="仿宋" w:hAnsi="仿宋" w:eastAsia="仿宋" w:cs="仿宋"/>
          <w:sz w:val="30"/>
          <w:szCs w:val="30"/>
        </w:rPr>
        <w:t>按确定规则的要求，对与安全相关的事件进行审计，以日志方式记录必要信息，并作出相应处理的安全机制。</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lang w:val="en-US" w:eastAsia="zh-CN"/>
        </w:rPr>
        <w:t>3.5</w:t>
      </w:r>
      <w:r>
        <w:rPr>
          <w:rFonts w:hint="eastAsia" w:ascii="仿宋" w:hAnsi="仿宋" w:eastAsia="仿宋" w:cs="仿宋"/>
          <w:sz w:val="30"/>
          <w:szCs w:val="30"/>
        </w:rPr>
        <w:t>鉴别信息</w:t>
      </w:r>
      <w:r>
        <w:rPr>
          <w:rFonts w:hint="eastAsia" w:ascii="仿宋" w:hAnsi="仿宋" w:eastAsia="仿宋" w:cs="仿宋"/>
          <w:sz w:val="30"/>
          <w:szCs w:val="30"/>
          <w:lang w:eastAsia="zh-CN"/>
        </w:rPr>
        <w:t>。</w:t>
      </w:r>
      <w:r>
        <w:rPr>
          <w:rFonts w:hint="eastAsia" w:ascii="仿宋" w:hAnsi="仿宋" w:eastAsia="仿宋" w:cs="仿宋"/>
          <w:sz w:val="30"/>
          <w:szCs w:val="30"/>
        </w:rPr>
        <w:t>用以确认身份真实性的信息。</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lang w:val="en-US" w:eastAsia="zh-CN"/>
        </w:rPr>
        <w:t>3.6</w:t>
      </w:r>
      <w:r>
        <w:rPr>
          <w:rFonts w:hint="eastAsia" w:ascii="仿宋" w:hAnsi="仿宋" w:eastAsia="仿宋" w:cs="仿宋"/>
          <w:sz w:val="30"/>
          <w:szCs w:val="30"/>
        </w:rPr>
        <w:t>风险评估</w:t>
      </w:r>
      <w:r>
        <w:rPr>
          <w:rFonts w:hint="eastAsia" w:ascii="仿宋" w:hAnsi="仿宋" w:eastAsia="仿宋" w:cs="仿宋"/>
          <w:sz w:val="30"/>
          <w:szCs w:val="30"/>
          <w:lang w:eastAsia="zh-CN"/>
        </w:rPr>
        <w:t>。</w:t>
      </w:r>
      <w:r>
        <w:rPr>
          <w:rFonts w:hint="eastAsia" w:ascii="仿宋" w:hAnsi="仿宋" w:eastAsia="仿宋" w:cs="仿宋"/>
          <w:sz w:val="30"/>
          <w:szCs w:val="30"/>
        </w:rPr>
        <w:t>通过对信息系统的资产价值/重要性、信息系统所受到的威胁以及信息系统的脆弱性进行综合分析，对信息系统及其处理、传输和存储的信息的保密性、完整性和可用性等进行科学识别和评价，确定信息 系统安全风险的过程。</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lang w:val="en-US" w:eastAsia="zh-CN"/>
        </w:rPr>
        <w:t>3.7</w:t>
      </w:r>
      <w:r>
        <w:rPr>
          <w:rFonts w:hint="eastAsia" w:ascii="仿宋" w:hAnsi="仿宋" w:eastAsia="仿宋" w:cs="仿宋"/>
          <w:sz w:val="30"/>
          <w:szCs w:val="30"/>
        </w:rPr>
        <w:t>安全策略  security policy</w:t>
      </w:r>
    </w:p>
    <w:p>
      <w:pPr>
        <w:snapToGrid w:val="0"/>
        <w:spacing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主要指为信息系统安全管理制定的行动方针、路线、工作方式、指导原则或程序。</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rPr>
        <w:t>4 信息系统安全管理内容、原则、策略和制度</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4.1  信息系统安</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是对管理平台、移动互联、挂载设备和公共数据的生存周期全过程实施符合安全等级责任要求的管理全管理内容</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4.2  信息系统安全管理原则</w:t>
      </w:r>
    </w:p>
    <w:p>
      <w:pPr>
        <w:snapToGrid w:val="0"/>
        <w:spacing w:line="360" w:lineRule="auto"/>
        <w:ind w:firstLine="600" w:firstLineChars="200"/>
        <w:rPr>
          <w:rFonts w:hint="default" w:ascii="仿宋" w:hAnsi="仿宋" w:eastAsia="仿宋" w:cs="仿宋"/>
          <w:b w:val="0"/>
          <w:bCs w:val="0"/>
          <w:sz w:val="30"/>
          <w:szCs w:val="30"/>
          <w:lang w:val="en-US" w:eastAsia="zh-CN"/>
        </w:rPr>
      </w:pPr>
      <w:r>
        <w:rPr>
          <w:rFonts w:hint="eastAsia" w:ascii="仿宋" w:hAnsi="仿宋" w:eastAsia="仿宋" w:cs="仿宋"/>
          <w:b w:val="0"/>
          <w:bCs w:val="0"/>
          <w:sz w:val="30"/>
          <w:szCs w:val="30"/>
          <w:lang w:val="en-US" w:eastAsia="zh-CN"/>
        </w:rPr>
        <w:t>提出11个原则</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4.3  信息系统安全管理策略</w:t>
      </w:r>
    </w:p>
    <w:p>
      <w:pPr>
        <w:snapToGrid w:val="0"/>
        <w:spacing w:line="360" w:lineRule="auto"/>
        <w:ind w:firstLine="600" w:firstLineChars="200"/>
        <w:rPr>
          <w:rFonts w:hint="eastAsia" w:ascii="仿宋" w:hAnsi="仿宋" w:eastAsia="仿宋" w:cs="仿宋"/>
          <w:b w:val="0"/>
          <w:bCs w:val="0"/>
          <w:sz w:val="30"/>
          <w:szCs w:val="30"/>
          <w:lang w:val="en-US" w:eastAsia="zh-CN"/>
        </w:rPr>
      </w:pPr>
      <w:r>
        <w:rPr>
          <w:rFonts w:hint="eastAsia" w:ascii="仿宋" w:hAnsi="仿宋" w:eastAsia="仿宋" w:cs="仿宋"/>
          <w:b w:val="0"/>
          <w:bCs w:val="0"/>
          <w:sz w:val="30"/>
          <w:szCs w:val="30"/>
          <w:lang w:val="en-US" w:eastAsia="zh-CN"/>
        </w:rPr>
        <w:t>提出5个安全管理策略</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4.4  信息系统安全管理制度</w:t>
      </w:r>
    </w:p>
    <w:p>
      <w:pPr>
        <w:snapToGrid w:val="0"/>
        <w:spacing w:line="360" w:lineRule="auto"/>
        <w:ind w:firstLine="600" w:firstLineChars="200"/>
        <w:rPr>
          <w:rFonts w:hint="eastAsia" w:ascii="仿宋" w:hAnsi="仿宋" w:eastAsia="仿宋" w:cs="仿宋"/>
          <w:b w:val="0"/>
          <w:bCs w:val="0"/>
          <w:sz w:val="30"/>
          <w:szCs w:val="30"/>
          <w:lang w:val="en-US" w:eastAsia="zh-CN"/>
        </w:rPr>
      </w:pPr>
      <w:r>
        <w:rPr>
          <w:rFonts w:hint="eastAsia" w:ascii="仿宋" w:hAnsi="仿宋" w:eastAsia="仿宋" w:cs="仿宋"/>
          <w:b w:val="0"/>
          <w:bCs w:val="0"/>
          <w:sz w:val="30"/>
          <w:szCs w:val="30"/>
          <w:lang w:val="en-US" w:eastAsia="zh-CN"/>
        </w:rPr>
        <w:t>从五个维度提出安全管理制度</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rPr>
        <w:t>5</w:t>
      </w:r>
      <w:r>
        <w:rPr>
          <w:rFonts w:hint="eastAsia" w:ascii="仿宋" w:hAnsi="仿宋" w:eastAsia="仿宋" w:cs="仿宋"/>
          <w:b/>
          <w:bCs/>
          <w:sz w:val="30"/>
          <w:szCs w:val="30"/>
          <w:lang w:val="en-US" w:eastAsia="zh-CN"/>
        </w:rPr>
        <w:t xml:space="preserve"> </w:t>
      </w:r>
      <w:r>
        <w:rPr>
          <w:rFonts w:hint="eastAsia" w:ascii="仿宋" w:hAnsi="仿宋" w:eastAsia="仿宋" w:cs="仿宋"/>
          <w:b/>
          <w:bCs/>
          <w:sz w:val="30"/>
          <w:szCs w:val="30"/>
        </w:rPr>
        <w:t>信息系统安全管理机构建设和人员管理</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5.1  建立安全管理机构</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5.2  信息安全领导小组</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5.3  信息安全职能部门</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5.4  安全管理人员配备</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5.5  关键岗位人员管理</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5.6  人员录用管理</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5.7  人员离岗管理</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5.8  人员考核与审查</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5.9  人员教育和培训</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rPr>
        <w:t xml:space="preserve">6 </w:t>
      </w:r>
      <w:r>
        <w:rPr>
          <w:rFonts w:hint="eastAsia" w:ascii="仿宋" w:hAnsi="仿宋" w:eastAsia="仿宋" w:cs="仿宋"/>
          <w:b/>
          <w:bCs/>
          <w:sz w:val="30"/>
          <w:szCs w:val="30"/>
          <w:lang w:val="en-US" w:eastAsia="zh-CN"/>
        </w:rPr>
        <w:t xml:space="preserve"> </w:t>
      </w:r>
      <w:r>
        <w:rPr>
          <w:rFonts w:hint="eastAsia" w:ascii="仿宋" w:hAnsi="仿宋" w:eastAsia="仿宋" w:cs="仿宋"/>
          <w:b/>
          <w:bCs/>
          <w:sz w:val="30"/>
          <w:szCs w:val="30"/>
        </w:rPr>
        <w:t>信息系统安全管理风险控制</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6.1  风险管理要求</w:t>
      </w:r>
    </w:p>
    <w:p>
      <w:pPr>
        <w:snapToGrid w:val="0"/>
        <w:spacing w:line="360" w:lineRule="auto"/>
        <w:ind w:firstLine="600" w:firstLineChars="200"/>
        <w:rPr>
          <w:rFonts w:hint="eastAsia" w:ascii="仿宋" w:hAnsi="仿宋" w:eastAsia="仿宋" w:cs="仿宋"/>
          <w:b w:val="0"/>
          <w:bCs w:val="0"/>
          <w:sz w:val="30"/>
          <w:szCs w:val="30"/>
          <w:lang w:eastAsia="zh-CN"/>
        </w:rPr>
      </w:pPr>
      <w:r>
        <w:rPr>
          <w:rFonts w:hint="eastAsia" w:ascii="仿宋" w:hAnsi="仿宋" w:eastAsia="仿宋" w:cs="仿宋"/>
          <w:b w:val="0"/>
          <w:bCs w:val="0"/>
          <w:sz w:val="30"/>
          <w:szCs w:val="30"/>
        </w:rPr>
        <w:t>风险管理作为等级保护的手段，在保证信息等级系统的最低保护能力的基础上，根据风险增加某些管理要求</w:t>
      </w:r>
      <w:r>
        <w:rPr>
          <w:rFonts w:hint="eastAsia" w:ascii="仿宋" w:hAnsi="仿宋" w:eastAsia="仿宋" w:cs="仿宋"/>
          <w:b w:val="0"/>
          <w:bCs w:val="0"/>
          <w:sz w:val="30"/>
          <w:szCs w:val="30"/>
          <w:lang w:eastAsia="zh-CN"/>
        </w:rPr>
        <w:t>。</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6.2  风险管理策略</w:t>
      </w:r>
    </w:p>
    <w:p>
      <w:pPr>
        <w:snapToGrid w:val="0"/>
        <w:spacing w:line="360" w:lineRule="auto"/>
        <w:ind w:firstLine="600" w:firstLineChars="200"/>
        <w:rPr>
          <w:rFonts w:hint="eastAsia" w:ascii="仿宋" w:hAnsi="仿宋" w:eastAsia="仿宋" w:cs="仿宋"/>
          <w:b w:val="0"/>
          <w:bCs w:val="0"/>
          <w:sz w:val="30"/>
          <w:szCs w:val="30"/>
          <w:lang w:val="en-US" w:eastAsia="zh-CN"/>
        </w:rPr>
      </w:pPr>
      <w:r>
        <w:rPr>
          <w:rFonts w:hint="eastAsia" w:ascii="仿宋" w:hAnsi="仿宋" w:eastAsia="仿宋" w:cs="仿宋"/>
          <w:b w:val="0"/>
          <w:bCs w:val="0"/>
          <w:sz w:val="30"/>
          <w:szCs w:val="30"/>
        </w:rPr>
        <w:t>不同安全等级的风险管理策略</w:t>
      </w:r>
      <w:r>
        <w:rPr>
          <w:rFonts w:hint="eastAsia" w:ascii="仿宋" w:hAnsi="仿宋" w:eastAsia="仿宋" w:cs="仿宋"/>
          <w:b w:val="0"/>
          <w:bCs w:val="0"/>
          <w:sz w:val="30"/>
          <w:szCs w:val="30"/>
          <w:lang w:val="en-US" w:eastAsia="zh-CN"/>
        </w:rPr>
        <w:t>不同。</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6.3  风险分析</w:t>
      </w:r>
    </w:p>
    <w:p>
      <w:pPr>
        <w:snapToGrid w:val="0"/>
        <w:spacing w:line="360" w:lineRule="auto"/>
        <w:ind w:firstLine="600" w:firstLineChars="200"/>
        <w:rPr>
          <w:rFonts w:hint="eastAsia" w:ascii="仿宋" w:hAnsi="仿宋" w:eastAsia="仿宋" w:cs="仿宋"/>
          <w:b w:val="0"/>
          <w:bCs w:val="0"/>
          <w:sz w:val="30"/>
          <w:szCs w:val="30"/>
          <w:lang w:eastAsia="zh-CN"/>
        </w:rPr>
      </w:pPr>
      <w:r>
        <w:rPr>
          <w:rFonts w:hint="eastAsia" w:ascii="仿宋" w:hAnsi="仿宋" w:eastAsia="仿宋" w:cs="仿宋"/>
          <w:b w:val="0"/>
          <w:bCs w:val="0"/>
          <w:sz w:val="30"/>
          <w:szCs w:val="30"/>
          <w:lang w:val="en-US" w:eastAsia="zh-CN"/>
        </w:rPr>
        <w:t>从</w:t>
      </w:r>
      <w:r>
        <w:rPr>
          <w:rFonts w:hint="eastAsia" w:ascii="仿宋" w:hAnsi="仿宋" w:eastAsia="仿宋" w:cs="仿宋"/>
          <w:b w:val="0"/>
          <w:bCs w:val="0"/>
          <w:sz w:val="30"/>
          <w:szCs w:val="30"/>
        </w:rPr>
        <w:t>资产识别</w:t>
      </w:r>
      <w:r>
        <w:rPr>
          <w:rFonts w:hint="eastAsia" w:ascii="仿宋" w:hAnsi="仿宋" w:eastAsia="仿宋" w:cs="仿宋"/>
          <w:b w:val="0"/>
          <w:bCs w:val="0"/>
          <w:sz w:val="30"/>
          <w:szCs w:val="30"/>
          <w:lang w:eastAsia="zh-CN"/>
        </w:rPr>
        <w:t>、威胁识别</w:t>
      </w:r>
      <w:r>
        <w:rPr>
          <w:rFonts w:hint="eastAsia" w:ascii="仿宋" w:hAnsi="仿宋" w:eastAsia="仿宋" w:cs="仿宋"/>
          <w:b w:val="0"/>
          <w:bCs w:val="0"/>
          <w:sz w:val="30"/>
          <w:szCs w:val="30"/>
          <w:lang w:val="en-US" w:eastAsia="zh-CN"/>
        </w:rPr>
        <w:t>和</w:t>
      </w:r>
      <w:r>
        <w:rPr>
          <w:rFonts w:hint="eastAsia" w:ascii="仿宋" w:hAnsi="仿宋" w:eastAsia="仿宋" w:cs="仿宋"/>
          <w:b w:val="0"/>
          <w:bCs w:val="0"/>
          <w:sz w:val="30"/>
          <w:szCs w:val="30"/>
          <w:lang w:eastAsia="zh-CN"/>
        </w:rPr>
        <w:t>脆弱性识别</w:t>
      </w:r>
      <w:r>
        <w:rPr>
          <w:rFonts w:hint="eastAsia" w:ascii="仿宋" w:hAnsi="仿宋" w:eastAsia="仿宋" w:cs="仿宋"/>
          <w:b w:val="0"/>
          <w:bCs w:val="0"/>
          <w:sz w:val="30"/>
          <w:szCs w:val="30"/>
          <w:lang w:val="en-US" w:eastAsia="zh-CN"/>
        </w:rPr>
        <w:t>提出</w:t>
      </w:r>
      <w:r>
        <w:rPr>
          <w:rFonts w:hint="eastAsia" w:ascii="仿宋" w:hAnsi="仿宋" w:eastAsia="仿宋" w:cs="仿宋"/>
          <w:b w:val="0"/>
          <w:bCs w:val="0"/>
          <w:sz w:val="30"/>
          <w:szCs w:val="30"/>
        </w:rPr>
        <w:t>风险分析</w:t>
      </w:r>
      <w:r>
        <w:rPr>
          <w:rFonts w:hint="eastAsia" w:ascii="仿宋" w:hAnsi="仿宋" w:eastAsia="仿宋" w:cs="仿宋"/>
          <w:b w:val="0"/>
          <w:bCs w:val="0"/>
          <w:sz w:val="30"/>
          <w:szCs w:val="30"/>
          <w:lang w:eastAsia="zh-CN"/>
        </w:rPr>
        <w:t>。</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6.4  风险评估</w:t>
      </w:r>
    </w:p>
    <w:p>
      <w:pPr>
        <w:snapToGrid w:val="0"/>
        <w:spacing w:line="360" w:lineRule="auto"/>
        <w:ind w:firstLine="600" w:firstLineChars="200"/>
        <w:rPr>
          <w:rFonts w:hint="eastAsia" w:ascii="仿宋" w:hAnsi="仿宋" w:eastAsia="仿宋" w:cs="仿宋"/>
          <w:b w:val="0"/>
          <w:bCs w:val="0"/>
          <w:sz w:val="30"/>
          <w:szCs w:val="30"/>
          <w:lang w:eastAsia="zh-CN"/>
        </w:rPr>
      </w:pPr>
      <w:r>
        <w:rPr>
          <w:rFonts w:hint="eastAsia" w:ascii="仿宋" w:hAnsi="仿宋" w:eastAsia="仿宋" w:cs="仿宋"/>
          <w:b w:val="0"/>
          <w:bCs w:val="0"/>
          <w:sz w:val="30"/>
          <w:szCs w:val="30"/>
        </w:rPr>
        <w:t>应由用户和部分专家通过经验来判断风险，并对风险进行评估，形成风险评估报告，其中必须包括风险级别、风险点等内容，并确定信息系统的安全风险状况</w:t>
      </w:r>
      <w:r>
        <w:rPr>
          <w:rFonts w:hint="eastAsia" w:ascii="仿宋" w:hAnsi="仿宋" w:eastAsia="仿宋" w:cs="仿宋"/>
          <w:b w:val="0"/>
          <w:bCs w:val="0"/>
          <w:sz w:val="30"/>
          <w:szCs w:val="30"/>
          <w:lang w:eastAsia="zh-CN"/>
        </w:rPr>
        <w:t>。</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6.5  风险控制</w:t>
      </w:r>
    </w:p>
    <w:p>
      <w:pPr>
        <w:snapToGrid w:val="0"/>
        <w:spacing w:line="360" w:lineRule="auto"/>
        <w:ind w:firstLine="600" w:firstLineChars="200"/>
        <w:rPr>
          <w:rFonts w:hint="eastAsia" w:ascii="仿宋" w:hAnsi="仿宋" w:eastAsia="仿宋" w:cs="仿宋"/>
          <w:b w:val="0"/>
          <w:bCs w:val="0"/>
          <w:sz w:val="30"/>
          <w:szCs w:val="30"/>
          <w:lang w:eastAsia="zh-CN"/>
        </w:rPr>
      </w:pPr>
      <w:r>
        <w:rPr>
          <w:rFonts w:hint="eastAsia" w:ascii="仿宋" w:hAnsi="仿宋" w:eastAsia="仿宋" w:cs="仿宋"/>
          <w:b w:val="0"/>
          <w:bCs w:val="0"/>
          <w:sz w:val="30"/>
          <w:szCs w:val="30"/>
        </w:rPr>
        <w:t>以信息系统及产品的安全等级标准对不同等级的技术和管理要求，选择相应等级的安全技术和管理措施，决定需要实施的信息系统安全控制措施</w:t>
      </w:r>
      <w:r>
        <w:rPr>
          <w:rFonts w:hint="eastAsia" w:ascii="仿宋" w:hAnsi="仿宋" w:eastAsia="仿宋" w:cs="仿宋"/>
          <w:b w:val="0"/>
          <w:bCs w:val="0"/>
          <w:sz w:val="30"/>
          <w:szCs w:val="30"/>
          <w:lang w:eastAsia="zh-CN"/>
        </w:rPr>
        <w:t>。</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6.6  安全确认</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采用系统化的方法对信息系统安全风险实施再次评估，通过再次评估，验证防护措施的有效性。</w:t>
      </w:r>
    </w:p>
    <w:p>
      <w:pPr>
        <w:snapToGrid w:val="0"/>
        <w:spacing w:line="360" w:lineRule="auto"/>
        <w:ind w:firstLine="602" w:firstLineChars="200"/>
        <w:rPr>
          <w:rFonts w:hint="eastAsia" w:ascii="仿宋" w:hAnsi="仿宋" w:eastAsia="仿宋" w:cs="仿宋"/>
          <w:b/>
          <w:bCs/>
          <w:sz w:val="30"/>
          <w:szCs w:val="30"/>
        </w:rPr>
      </w:pPr>
      <w:r>
        <w:rPr>
          <w:rFonts w:hint="eastAsia" w:ascii="仿宋" w:hAnsi="仿宋" w:eastAsia="仿宋" w:cs="仿宋"/>
          <w:b/>
          <w:bCs/>
          <w:sz w:val="30"/>
          <w:szCs w:val="30"/>
        </w:rPr>
        <w:t>7  信息系统安全管理通用要求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7.1  物理环境安全管理要求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7.2  资源安全管理要求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7.3  用户操作管理要求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7.4  运行维护管理要求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7.5  外包服务管理要求</w:t>
      </w:r>
    </w:p>
    <w:p>
      <w:pPr>
        <w:snapToGrid w:val="0"/>
        <w:spacing w:line="360" w:lineRule="auto"/>
        <w:ind w:firstLine="600" w:firstLineChars="200"/>
        <w:rPr>
          <w:rFonts w:hint="eastAsia" w:ascii="仿宋" w:hAnsi="仿宋" w:eastAsia="仿宋" w:cs="仿宋"/>
          <w:b w:val="0"/>
          <w:bCs w:val="0"/>
          <w:sz w:val="30"/>
          <w:szCs w:val="30"/>
          <w:lang w:val="en-US" w:eastAsia="zh-CN"/>
        </w:rPr>
      </w:pPr>
      <w:r>
        <w:rPr>
          <w:rFonts w:hint="eastAsia" w:ascii="仿宋" w:hAnsi="仿宋" w:eastAsia="仿宋" w:cs="仿宋"/>
          <w:b w:val="0"/>
          <w:bCs w:val="0"/>
          <w:sz w:val="30"/>
          <w:szCs w:val="30"/>
        </w:rPr>
        <w:t>7.6  安全机制保障要</w:t>
      </w:r>
      <w:r>
        <w:rPr>
          <w:rFonts w:hint="eastAsia" w:ascii="仿宋" w:hAnsi="仿宋" w:eastAsia="仿宋" w:cs="仿宋"/>
          <w:b w:val="0"/>
          <w:bCs w:val="0"/>
          <w:sz w:val="30"/>
          <w:szCs w:val="30"/>
          <w:lang w:val="en-US" w:eastAsia="zh-CN"/>
        </w:rPr>
        <w:t>求</w:t>
      </w:r>
    </w:p>
    <w:p>
      <w:pPr>
        <w:snapToGrid w:val="0"/>
        <w:spacing w:line="360" w:lineRule="auto"/>
        <w:ind w:firstLine="600" w:firstLineChars="200"/>
        <w:rPr>
          <w:rFonts w:hint="eastAsia" w:ascii="仿宋" w:hAnsi="仿宋" w:eastAsia="仿宋" w:cs="仿宋"/>
          <w:b w:val="0"/>
          <w:bCs w:val="0"/>
          <w:sz w:val="30"/>
          <w:szCs w:val="30"/>
        </w:rPr>
      </w:pPr>
      <w:r>
        <w:rPr>
          <w:rFonts w:hint="eastAsia" w:ascii="仿宋" w:hAnsi="仿宋" w:eastAsia="仿宋" w:cs="仿宋"/>
          <w:b w:val="0"/>
          <w:bCs w:val="0"/>
          <w:sz w:val="30"/>
          <w:szCs w:val="30"/>
        </w:rPr>
        <w:t>7.7  业务连续性管理要求</w:t>
      </w:r>
    </w:p>
    <w:p>
      <w:pPr>
        <w:pStyle w:val="2"/>
        <w:snapToGrid w:val="0"/>
        <w:spacing w:before="0" w:beforeAutospacing="0" w:after="0" w:afterAutospacing="0" w:line="360" w:lineRule="auto"/>
        <w:rPr>
          <w:rFonts w:hint="eastAsia" w:ascii="仿宋" w:hAnsi="仿宋" w:cs="Times New Roman"/>
          <w:sz w:val="32"/>
          <w:szCs w:val="32"/>
        </w:rPr>
      </w:pPr>
      <w:bookmarkStart w:id="3" w:name="_Toc11416294"/>
    </w:p>
    <w:p>
      <w:pPr>
        <w:pStyle w:val="2"/>
        <w:snapToGrid w:val="0"/>
        <w:spacing w:before="0" w:beforeAutospacing="0" w:after="0" w:afterAutospacing="0" w:line="360" w:lineRule="auto"/>
        <w:rPr>
          <w:rFonts w:ascii="仿宋" w:hAnsi="仿宋" w:cs="Times New Roman"/>
          <w:sz w:val="32"/>
          <w:szCs w:val="32"/>
        </w:rPr>
      </w:pPr>
      <w:r>
        <w:rPr>
          <w:rFonts w:hint="eastAsia" w:ascii="仿宋" w:hAnsi="仿宋" w:cs="Times New Roman"/>
          <w:sz w:val="32"/>
          <w:szCs w:val="32"/>
        </w:rPr>
        <w:t>五</w:t>
      </w:r>
      <w:r>
        <w:rPr>
          <w:rFonts w:ascii="仿宋" w:hAnsi="仿宋" w:cs="Times New Roman"/>
          <w:sz w:val="32"/>
          <w:szCs w:val="32"/>
        </w:rPr>
        <w:t>、</w:t>
      </w:r>
      <w:bookmarkEnd w:id="3"/>
      <w:r>
        <w:rPr>
          <w:rFonts w:hint="eastAsia" w:ascii="仿宋" w:hAnsi="仿宋" w:cs="Times New Roman"/>
          <w:sz w:val="32"/>
          <w:szCs w:val="32"/>
        </w:rPr>
        <w:t>是否涉及专利等知识产权问题</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bookmarkStart w:id="4" w:name="_Toc11416295"/>
      <w:r>
        <w:rPr>
          <w:rFonts w:hint="eastAsia" w:ascii="仿宋" w:hAnsi="仿宋" w:eastAsia="仿宋" w:cs="仿宋"/>
          <w:sz w:val="30"/>
          <w:szCs w:val="30"/>
        </w:rPr>
        <w:t>无。</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p>
    <w:bookmarkEnd w:id="4"/>
    <w:p>
      <w:pPr>
        <w:pStyle w:val="2"/>
        <w:numPr>
          <w:ilvl w:val="0"/>
          <w:numId w:val="5"/>
        </w:numPr>
        <w:snapToGrid w:val="0"/>
        <w:spacing w:before="0" w:beforeAutospacing="0" w:after="0" w:afterAutospacing="0" w:line="360" w:lineRule="auto"/>
        <w:rPr>
          <w:rFonts w:hint="eastAsia" w:ascii="仿宋" w:hAnsi="仿宋" w:cs="Times New Roman"/>
          <w:sz w:val="32"/>
          <w:szCs w:val="32"/>
        </w:rPr>
      </w:pPr>
      <w:r>
        <w:rPr>
          <w:rFonts w:hint="eastAsia" w:ascii="仿宋" w:hAnsi="仿宋" w:cs="Times New Roman"/>
          <w:sz w:val="32"/>
          <w:szCs w:val="32"/>
        </w:rPr>
        <w:t>重大意见分歧的处理依据和结果</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本标准制定过程中无重大分歧意见。</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p>
    <w:p>
      <w:pPr>
        <w:pStyle w:val="2"/>
        <w:numPr>
          <w:ilvl w:val="0"/>
          <w:numId w:val="6"/>
        </w:numPr>
        <w:snapToGrid w:val="0"/>
        <w:spacing w:before="0" w:beforeAutospacing="0" w:after="0" w:afterAutospacing="0" w:line="360" w:lineRule="auto"/>
        <w:rPr>
          <w:rFonts w:ascii="仿宋" w:hAnsi="仿宋" w:cs="Times New Roman"/>
          <w:sz w:val="32"/>
          <w:szCs w:val="32"/>
        </w:rPr>
      </w:pPr>
      <w:r>
        <w:rPr>
          <w:rFonts w:hint="eastAsia" w:ascii="仿宋" w:hAnsi="仿宋" w:cs="Times New Roman"/>
          <w:sz w:val="32"/>
          <w:szCs w:val="32"/>
        </w:rPr>
        <w:t>实施标准的措施建议</w:t>
      </w:r>
    </w:p>
    <w:p>
      <w:pPr>
        <w:pStyle w:val="13"/>
        <w:widowControl/>
        <w:snapToGrid w:val="0"/>
        <w:spacing w:before="0" w:beforeAutospacing="0" w:after="0" w:afterAutospacing="0" w:line="360" w:lineRule="auto"/>
        <w:ind w:firstLine="600" w:firstLineChars="200"/>
        <w:rPr>
          <w:rFonts w:ascii="仿宋" w:hAnsi="仿宋" w:eastAsia="仿宋" w:cs="仿宋"/>
          <w:sz w:val="30"/>
          <w:szCs w:val="30"/>
        </w:rPr>
      </w:pPr>
      <w:r>
        <w:rPr>
          <w:rFonts w:hint="eastAsia" w:ascii="仿宋" w:hAnsi="仿宋" w:eastAsia="仿宋" w:cs="仿宋"/>
          <w:sz w:val="30"/>
          <w:szCs w:val="30"/>
        </w:rPr>
        <w:t>1、在相关专业媒体上宣传《多功能智能杆 网络安全等级保护基本要求》。</w:t>
      </w:r>
    </w:p>
    <w:p>
      <w:pPr>
        <w:pStyle w:val="13"/>
        <w:widowControl/>
        <w:snapToGrid w:val="0"/>
        <w:spacing w:before="0" w:beforeAutospacing="0" w:after="0" w:afterAutospacing="0" w:line="360" w:lineRule="auto"/>
        <w:ind w:firstLine="600" w:firstLineChars="200"/>
        <w:rPr>
          <w:rFonts w:ascii="仿宋" w:hAnsi="仿宋" w:eastAsia="仿宋" w:cs="仿宋"/>
          <w:sz w:val="30"/>
          <w:szCs w:val="30"/>
        </w:rPr>
      </w:pPr>
      <w:r>
        <w:rPr>
          <w:rFonts w:hint="eastAsia" w:ascii="仿宋" w:hAnsi="仿宋" w:eastAsia="仿宋" w:cs="仿宋"/>
          <w:sz w:val="30"/>
          <w:szCs w:val="30"/>
        </w:rPr>
        <w:t>2、通过有关会议介绍《多功能智能杆 网络安全等级保护基本要求》。</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r>
        <w:rPr>
          <w:rFonts w:hint="eastAsia" w:ascii="仿宋" w:hAnsi="仿宋" w:eastAsia="仿宋" w:cs="仿宋"/>
          <w:sz w:val="30"/>
          <w:szCs w:val="30"/>
        </w:rPr>
        <w:t>3、在运行单位的管理系统中，严格执行《多功能智能杆 网络安全等级保护基本要求》。</w:t>
      </w:r>
    </w:p>
    <w:p>
      <w:pPr>
        <w:pStyle w:val="13"/>
        <w:widowControl/>
        <w:snapToGrid w:val="0"/>
        <w:spacing w:before="0" w:beforeAutospacing="0" w:after="0" w:afterAutospacing="0" w:line="360" w:lineRule="auto"/>
        <w:ind w:firstLine="600" w:firstLineChars="200"/>
        <w:rPr>
          <w:rFonts w:hint="eastAsia" w:ascii="仿宋" w:hAnsi="仿宋" w:eastAsia="仿宋" w:cs="仿宋"/>
          <w:sz w:val="30"/>
          <w:szCs w:val="30"/>
        </w:rPr>
      </w:pPr>
    </w:p>
    <w:p>
      <w:pPr>
        <w:pStyle w:val="2"/>
        <w:snapToGrid w:val="0"/>
        <w:spacing w:before="0" w:beforeAutospacing="0" w:after="0" w:afterAutospacing="0" w:line="360" w:lineRule="auto"/>
        <w:rPr>
          <w:rFonts w:ascii="仿宋" w:hAnsi="仿宋" w:cs="Times New Roman"/>
          <w:sz w:val="32"/>
          <w:szCs w:val="32"/>
        </w:rPr>
      </w:pPr>
      <w:r>
        <w:rPr>
          <w:rFonts w:hint="eastAsia" w:ascii="仿宋" w:hAnsi="仿宋" w:cs="Times New Roman"/>
          <w:sz w:val="32"/>
          <w:szCs w:val="32"/>
        </w:rPr>
        <w:t>八</w:t>
      </w:r>
      <w:r>
        <w:rPr>
          <w:rFonts w:ascii="仿宋" w:hAnsi="仿宋" w:cs="Times New Roman"/>
          <w:sz w:val="32"/>
          <w:szCs w:val="32"/>
        </w:rPr>
        <w:t>、</w:t>
      </w:r>
      <w:r>
        <w:rPr>
          <w:rFonts w:hint="eastAsia" w:ascii="仿宋" w:hAnsi="仿宋" w:cs="Times New Roman"/>
          <w:sz w:val="32"/>
          <w:szCs w:val="32"/>
        </w:rPr>
        <w:t>其他需要说明的事项</w:t>
      </w:r>
    </w:p>
    <w:p>
      <w:pPr>
        <w:snapToGrid w:val="0"/>
        <w:spacing w:line="360" w:lineRule="auto"/>
        <w:ind w:firstLine="600" w:firstLineChars="200"/>
        <w:rPr>
          <w:rFonts w:ascii="仿宋" w:hAnsi="仿宋" w:eastAsia="仿宋" w:cs="Times New Roman"/>
          <w:sz w:val="32"/>
          <w:szCs w:val="32"/>
        </w:rPr>
      </w:pPr>
      <w:r>
        <w:rPr>
          <w:rFonts w:ascii="仿宋" w:hAnsi="仿宋" w:eastAsia="仿宋" w:cs="Times New Roman"/>
          <w:sz w:val="30"/>
          <w:szCs w:val="30"/>
        </w:rPr>
        <w:t>无。</w:t>
      </w:r>
    </w:p>
    <w:p>
      <w:pPr>
        <w:snapToGrid w:val="0"/>
        <w:spacing w:line="360" w:lineRule="auto"/>
        <w:rPr>
          <w:rFonts w:ascii="仿宋" w:hAnsi="仿宋" w:eastAsia="仿宋" w:cs="仿宋"/>
          <w:b/>
          <w:bCs/>
          <w:sz w:val="32"/>
          <w:szCs w:val="32"/>
        </w:rPr>
      </w:pPr>
    </w:p>
    <w:sectPr>
      <w:footerReference r:id="rId3" w:type="default"/>
      <w:pgSz w:w="11906" w:h="16838"/>
      <w:pgMar w:top="1361" w:right="1361" w:bottom="1361" w:left="1418" w:header="851" w:footer="992" w:gutter="0"/>
      <w:pgNumType w:start="1"/>
      <w:cols w:space="0" w:num="1"/>
      <w:rtlGutter w:val="0"/>
      <w:docGrid w:type="lines" w:linePitch="312" w:charSpace="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2FF" w:usb1="400004FF" w:usb2="00000000" w:usb3="00000000" w:csb0="2000019F"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90083531"/>
    </w:sdtPr>
    <w:sdtContent>
      <w:p>
        <w:pPr>
          <w:pStyle w:val="9"/>
          <w:jc w:val="center"/>
        </w:pPr>
        <w:r>
          <w:fldChar w:fldCharType="begin"/>
        </w:r>
        <w:r>
          <w:instrText xml:space="preserve">PAGE   \* MERGEFORMAT</w:instrText>
        </w:r>
        <w:r>
          <w:fldChar w:fldCharType="separate"/>
        </w:r>
        <w:r>
          <w:rPr>
            <w:lang w:val="zh-CN"/>
          </w:rPr>
          <w:t>11</w:t>
        </w:r>
        <w:r>
          <w:fldChar w:fldCharType="end"/>
        </w:r>
      </w:p>
    </w:sdtContent>
  </w:sdt>
  <w:p>
    <w:pPr>
      <w:pStyle w:val="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D32B80C"/>
    <w:multiLevelType w:val="singleLevel"/>
    <w:tmpl w:val="BD32B80C"/>
    <w:lvl w:ilvl="0" w:tentative="0">
      <w:start w:val="3"/>
      <w:numFmt w:val="chineseCounting"/>
      <w:suff w:val="nothing"/>
      <w:lvlText w:val="%1、"/>
      <w:lvlJc w:val="left"/>
      <w:rPr>
        <w:rFonts w:hint="eastAsia"/>
      </w:rPr>
    </w:lvl>
  </w:abstractNum>
  <w:abstractNum w:abstractNumId="1">
    <w:nsid w:val="F11BE73E"/>
    <w:multiLevelType w:val="singleLevel"/>
    <w:tmpl w:val="F11BE73E"/>
    <w:lvl w:ilvl="0" w:tentative="0">
      <w:start w:val="6"/>
      <w:numFmt w:val="chineseCounting"/>
      <w:suff w:val="nothing"/>
      <w:lvlText w:val="%1、"/>
      <w:lvlJc w:val="left"/>
      <w:rPr>
        <w:rFonts w:hint="eastAsia"/>
      </w:rPr>
    </w:lvl>
  </w:abstractNum>
  <w:abstractNum w:abstractNumId="2">
    <w:nsid w:val="1FC91163"/>
    <w:multiLevelType w:val="multilevel"/>
    <w:tmpl w:val="1FC91163"/>
    <w:lvl w:ilvl="0" w:tentative="0">
      <w:start w:val="1"/>
      <w:numFmt w:val="decimal"/>
      <w:pStyle w:val="27"/>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26"/>
      <w:suff w:val="nothing"/>
      <w:lvlText w:val="%1.%2　"/>
      <w:lvlJc w:val="left"/>
      <w:pPr>
        <w:ind w:left="426"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tentative="0">
      <w:start w:val="1"/>
      <w:numFmt w:val="decimal"/>
      <w:pStyle w:val="28"/>
      <w:suff w:val="nothing"/>
      <w:lvlText w:val="%1.%2.%3　"/>
      <w:lvlJc w:val="left"/>
      <w:pPr>
        <w:ind w:left="0" w:firstLine="0"/>
      </w:pPr>
      <w:rPr>
        <w:rFonts w:hint="eastAsia" w:ascii="黑体" w:hAnsi="Times New Roman" w:eastAsia="黑体"/>
        <w:b w:val="0"/>
        <w:i w:val="0"/>
        <w:sz w:val="21"/>
      </w:rPr>
    </w:lvl>
    <w:lvl w:ilvl="3" w:tentative="0">
      <w:start w:val="1"/>
      <w:numFmt w:val="decimal"/>
      <w:pStyle w:val="29"/>
      <w:suff w:val="nothing"/>
      <w:lvlText w:val="%1.%2.%3.%4　"/>
      <w:lvlJc w:val="left"/>
      <w:pPr>
        <w:ind w:left="0" w:firstLine="0"/>
      </w:pPr>
      <w:rPr>
        <w:rFonts w:hint="eastAsia" w:ascii="黑体" w:hAnsi="Times New Roman" w:eastAsia="黑体"/>
        <w:b w:val="0"/>
        <w:i w:val="0"/>
        <w:sz w:val="21"/>
      </w:rPr>
    </w:lvl>
    <w:lvl w:ilvl="4" w:tentative="0">
      <w:start w:val="1"/>
      <w:numFmt w:val="decimal"/>
      <w:pStyle w:val="31"/>
      <w:suff w:val="nothing"/>
      <w:lvlText w:val="%1.%2.%3.%4.%5　"/>
      <w:lvlJc w:val="left"/>
      <w:pPr>
        <w:ind w:left="0" w:firstLine="0"/>
      </w:pPr>
      <w:rPr>
        <w:rFonts w:hint="eastAsia" w:ascii="黑体" w:hAnsi="Times New Roman" w:eastAsia="黑体"/>
        <w:b w:val="0"/>
        <w:i w:val="0"/>
        <w:sz w:val="21"/>
      </w:rPr>
    </w:lvl>
    <w:lvl w:ilvl="5" w:tentative="0">
      <w:start w:val="1"/>
      <w:numFmt w:val="decimal"/>
      <w:pStyle w:val="32"/>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3">
    <w:nsid w:val="442E55B6"/>
    <w:multiLevelType w:val="singleLevel"/>
    <w:tmpl w:val="442E55B6"/>
    <w:lvl w:ilvl="0" w:tentative="0">
      <w:start w:val="7"/>
      <w:numFmt w:val="chineseCounting"/>
      <w:suff w:val="nothing"/>
      <w:lvlText w:val="%1、"/>
      <w:lvlJc w:val="left"/>
      <w:rPr>
        <w:rFonts w:hint="eastAsia"/>
      </w:rPr>
    </w:lvl>
  </w:abstractNum>
  <w:abstractNum w:abstractNumId="4">
    <w:nsid w:val="44C50F90"/>
    <w:multiLevelType w:val="multilevel"/>
    <w:tmpl w:val="44C50F90"/>
    <w:lvl w:ilvl="0" w:tentative="0">
      <w:start w:val="1"/>
      <w:numFmt w:val="lowerLetter"/>
      <w:pStyle w:val="33"/>
      <w:lvlText w:val="%1)"/>
      <w:lvlJc w:val="left"/>
      <w:pPr>
        <w:tabs>
          <w:tab w:val="left" w:pos="840"/>
        </w:tabs>
        <w:ind w:left="839" w:hanging="419"/>
      </w:pPr>
      <w:rPr>
        <w:rFonts w:hint="eastAsia" w:ascii="宋体" w:eastAsia="宋体"/>
        <w:b w:val="0"/>
        <w:i w:val="0"/>
        <w:sz w:val="21"/>
        <w:szCs w:val="21"/>
      </w:rPr>
    </w:lvl>
    <w:lvl w:ilvl="1" w:tentative="0">
      <w:start w:val="1"/>
      <w:numFmt w:val="decimal"/>
      <w:pStyle w:val="30"/>
      <w:lvlText w:val="%2)"/>
      <w:lvlJc w:val="left"/>
      <w:pPr>
        <w:tabs>
          <w:tab w:val="left" w:pos="1260"/>
        </w:tabs>
        <w:ind w:left="1259" w:hanging="419"/>
      </w:pPr>
      <w:rPr>
        <w:rFonts w:hint="eastAsia"/>
      </w:rPr>
    </w:lvl>
    <w:lvl w:ilvl="2" w:tentative="0">
      <w:start w:val="1"/>
      <w:numFmt w:val="decimal"/>
      <w:pStyle w:val="34"/>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5">
    <w:nsid w:val="47915356"/>
    <w:multiLevelType w:val="multilevel"/>
    <w:tmpl w:val="47915356"/>
    <w:lvl w:ilvl="0" w:tentative="0">
      <w:start w:val="1"/>
      <w:numFmt w:val="decimal"/>
      <w:lvlText w:val="%1."/>
      <w:lvlJc w:val="left"/>
      <w:pPr>
        <w:ind w:left="1070" w:hanging="430"/>
      </w:pPr>
      <w:rPr>
        <w:rFonts w:hint="default"/>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num w:numId="1">
    <w:abstractNumId w:val="2"/>
  </w:num>
  <w:num w:numId="2">
    <w:abstractNumId w:val="4"/>
  </w:num>
  <w:num w:numId="3">
    <w:abstractNumId w:val="5"/>
  </w:num>
  <w:num w:numId="4">
    <w:abstractNumId w:val="0"/>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displayBackgroundShape w:val="1"/>
  <w:bordersDoNotSurroundHeader w:val="1"/>
  <w:bordersDoNotSurroundFooter w:val="1"/>
  <w:documentProtection w:enforcement="0"/>
  <w:defaultTabStop w:val="420"/>
  <w:noPunctuationKerning w:val="1"/>
  <w:characterSpacingControl w:val="doNotCompress"/>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A5NzRjZGMwNTVjNjY0YjYwNTVmN2E1ZTMyOGU1N2IifQ=="/>
    <w:docVar w:name="KSO_WPS_MARK_KEY" w:val="8182122e-9091-4c9e-be80-3739f36369fe"/>
  </w:docVars>
  <w:rsids>
    <w:rsidRoot w:val="00172A27"/>
    <w:rsid w:val="00000117"/>
    <w:rsid w:val="00002900"/>
    <w:rsid w:val="000033EE"/>
    <w:rsid w:val="00005F35"/>
    <w:rsid w:val="00007FC4"/>
    <w:rsid w:val="00010849"/>
    <w:rsid w:val="000114E3"/>
    <w:rsid w:val="00011661"/>
    <w:rsid w:val="00013340"/>
    <w:rsid w:val="00017A96"/>
    <w:rsid w:val="00022584"/>
    <w:rsid w:val="00024A9D"/>
    <w:rsid w:val="0002522C"/>
    <w:rsid w:val="00026662"/>
    <w:rsid w:val="00031CDE"/>
    <w:rsid w:val="00031E15"/>
    <w:rsid w:val="00032C0D"/>
    <w:rsid w:val="000353CD"/>
    <w:rsid w:val="00035523"/>
    <w:rsid w:val="00035F93"/>
    <w:rsid w:val="000410D9"/>
    <w:rsid w:val="00042767"/>
    <w:rsid w:val="00042C44"/>
    <w:rsid w:val="00046CB1"/>
    <w:rsid w:val="00050308"/>
    <w:rsid w:val="00052F6B"/>
    <w:rsid w:val="00054E49"/>
    <w:rsid w:val="000550B9"/>
    <w:rsid w:val="00062B19"/>
    <w:rsid w:val="0006569D"/>
    <w:rsid w:val="000676C7"/>
    <w:rsid w:val="00067A01"/>
    <w:rsid w:val="00067AB2"/>
    <w:rsid w:val="00067BC1"/>
    <w:rsid w:val="00072929"/>
    <w:rsid w:val="00072CBE"/>
    <w:rsid w:val="00073411"/>
    <w:rsid w:val="000743A6"/>
    <w:rsid w:val="000763ED"/>
    <w:rsid w:val="00076A2C"/>
    <w:rsid w:val="00076E45"/>
    <w:rsid w:val="00081DA7"/>
    <w:rsid w:val="00081E4D"/>
    <w:rsid w:val="00081F18"/>
    <w:rsid w:val="000829D0"/>
    <w:rsid w:val="00082EF6"/>
    <w:rsid w:val="00084E7C"/>
    <w:rsid w:val="0008677F"/>
    <w:rsid w:val="000868D5"/>
    <w:rsid w:val="000903E3"/>
    <w:rsid w:val="000904B3"/>
    <w:rsid w:val="00090D7D"/>
    <w:rsid w:val="0009205C"/>
    <w:rsid w:val="00092741"/>
    <w:rsid w:val="00094346"/>
    <w:rsid w:val="00095E95"/>
    <w:rsid w:val="00095FA4"/>
    <w:rsid w:val="00097AAC"/>
    <w:rsid w:val="000A19F4"/>
    <w:rsid w:val="000A3D49"/>
    <w:rsid w:val="000A5184"/>
    <w:rsid w:val="000A5DFA"/>
    <w:rsid w:val="000A6177"/>
    <w:rsid w:val="000A6A14"/>
    <w:rsid w:val="000B0D6E"/>
    <w:rsid w:val="000B1695"/>
    <w:rsid w:val="000B278F"/>
    <w:rsid w:val="000B53F6"/>
    <w:rsid w:val="000B64B9"/>
    <w:rsid w:val="000B7EB4"/>
    <w:rsid w:val="000B7F22"/>
    <w:rsid w:val="000C12C4"/>
    <w:rsid w:val="000C1725"/>
    <w:rsid w:val="000C17F5"/>
    <w:rsid w:val="000C1D75"/>
    <w:rsid w:val="000C25AA"/>
    <w:rsid w:val="000C2EB1"/>
    <w:rsid w:val="000C302C"/>
    <w:rsid w:val="000C3AE5"/>
    <w:rsid w:val="000C5BBC"/>
    <w:rsid w:val="000C5C1F"/>
    <w:rsid w:val="000C5DD5"/>
    <w:rsid w:val="000C6497"/>
    <w:rsid w:val="000C715F"/>
    <w:rsid w:val="000D07A3"/>
    <w:rsid w:val="000D104A"/>
    <w:rsid w:val="000D5FBE"/>
    <w:rsid w:val="000D61F2"/>
    <w:rsid w:val="000D64E2"/>
    <w:rsid w:val="000E0AC6"/>
    <w:rsid w:val="000E3001"/>
    <w:rsid w:val="000E3325"/>
    <w:rsid w:val="000E6CFC"/>
    <w:rsid w:val="000E6FDD"/>
    <w:rsid w:val="000E7CC4"/>
    <w:rsid w:val="000F00DA"/>
    <w:rsid w:val="000F3DA3"/>
    <w:rsid w:val="000F4A75"/>
    <w:rsid w:val="000F5E52"/>
    <w:rsid w:val="000F658B"/>
    <w:rsid w:val="001014F4"/>
    <w:rsid w:val="00102F19"/>
    <w:rsid w:val="00105F8D"/>
    <w:rsid w:val="00106B2F"/>
    <w:rsid w:val="0010744D"/>
    <w:rsid w:val="00115072"/>
    <w:rsid w:val="00115C43"/>
    <w:rsid w:val="00115E7B"/>
    <w:rsid w:val="001160AE"/>
    <w:rsid w:val="00120AA5"/>
    <w:rsid w:val="001225B2"/>
    <w:rsid w:val="00122F85"/>
    <w:rsid w:val="0012650B"/>
    <w:rsid w:val="001272C0"/>
    <w:rsid w:val="001272F4"/>
    <w:rsid w:val="00127D9C"/>
    <w:rsid w:val="00127F65"/>
    <w:rsid w:val="00130B6B"/>
    <w:rsid w:val="00130F13"/>
    <w:rsid w:val="00131EBB"/>
    <w:rsid w:val="001336A8"/>
    <w:rsid w:val="00134F31"/>
    <w:rsid w:val="001351E5"/>
    <w:rsid w:val="00135F89"/>
    <w:rsid w:val="00136DFE"/>
    <w:rsid w:val="00140976"/>
    <w:rsid w:val="00141437"/>
    <w:rsid w:val="00141FCA"/>
    <w:rsid w:val="0015198D"/>
    <w:rsid w:val="00151C83"/>
    <w:rsid w:val="001523A2"/>
    <w:rsid w:val="0015255A"/>
    <w:rsid w:val="00152AD4"/>
    <w:rsid w:val="00153203"/>
    <w:rsid w:val="00153613"/>
    <w:rsid w:val="001546B1"/>
    <w:rsid w:val="00155CB6"/>
    <w:rsid w:val="00157644"/>
    <w:rsid w:val="00157931"/>
    <w:rsid w:val="0015793B"/>
    <w:rsid w:val="00162379"/>
    <w:rsid w:val="0016268C"/>
    <w:rsid w:val="00163F0A"/>
    <w:rsid w:val="00166C4D"/>
    <w:rsid w:val="00170724"/>
    <w:rsid w:val="00172937"/>
    <w:rsid w:val="00172A27"/>
    <w:rsid w:val="001739C2"/>
    <w:rsid w:val="001742A8"/>
    <w:rsid w:val="001744A0"/>
    <w:rsid w:val="00175D05"/>
    <w:rsid w:val="0017772C"/>
    <w:rsid w:val="00182AE0"/>
    <w:rsid w:val="00184723"/>
    <w:rsid w:val="00186557"/>
    <w:rsid w:val="00187E0D"/>
    <w:rsid w:val="0019459F"/>
    <w:rsid w:val="0019500A"/>
    <w:rsid w:val="0019554F"/>
    <w:rsid w:val="001A023B"/>
    <w:rsid w:val="001A2D08"/>
    <w:rsid w:val="001A37D6"/>
    <w:rsid w:val="001A4EC6"/>
    <w:rsid w:val="001B0282"/>
    <w:rsid w:val="001B2326"/>
    <w:rsid w:val="001B30D1"/>
    <w:rsid w:val="001B3543"/>
    <w:rsid w:val="001B3C42"/>
    <w:rsid w:val="001B5E47"/>
    <w:rsid w:val="001B64C7"/>
    <w:rsid w:val="001B7700"/>
    <w:rsid w:val="001C011F"/>
    <w:rsid w:val="001C1A9F"/>
    <w:rsid w:val="001C6708"/>
    <w:rsid w:val="001C6B19"/>
    <w:rsid w:val="001C75EF"/>
    <w:rsid w:val="001D14AA"/>
    <w:rsid w:val="001D22F7"/>
    <w:rsid w:val="001D317A"/>
    <w:rsid w:val="001D5F17"/>
    <w:rsid w:val="001D6BB4"/>
    <w:rsid w:val="001D6D48"/>
    <w:rsid w:val="001D6D71"/>
    <w:rsid w:val="001E2359"/>
    <w:rsid w:val="001E23AF"/>
    <w:rsid w:val="001E2BE1"/>
    <w:rsid w:val="001E493D"/>
    <w:rsid w:val="001E62AE"/>
    <w:rsid w:val="001E6C74"/>
    <w:rsid w:val="001E70F5"/>
    <w:rsid w:val="001F0C55"/>
    <w:rsid w:val="001F1CBA"/>
    <w:rsid w:val="001F2979"/>
    <w:rsid w:val="001F6FB2"/>
    <w:rsid w:val="00200A7B"/>
    <w:rsid w:val="00204609"/>
    <w:rsid w:val="002053FB"/>
    <w:rsid w:val="00206115"/>
    <w:rsid w:val="00206DCA"/>
    <w:rsid w:val="002105B4"/>
    <w:rsid w:val="00210921"/>
    <w:rsid w:val="002125F0"/>
    <w:rsid w:val="00213E70"/>
    <w:rsid w:val="0021564A"/>
    <w:rsid w:val="00215745"/>
    <w:rsid w:val="002168AC"/>
    <w:rsid w:val="002177D1"/>
    <w:rsid w:val="00220CD7"/>
    <w:rsid w:val="00223B68"/>
    <w:rsid w:val="00226660"/>
    <w:rsid w:val="00231C21"/>
    <w:rsid w:val="002327D3"/>
    <w:rsid w:val="00236AE7"/>
    <w:rsid w:val="00240871"/>
    <w:rsid w:val="002423D7"/>
    <w:rsid w:val="0024395B"/>
    <w:rsid w:val="00245A30"/>
    <w:rsid w:val="002461A6"/>
    <w:rsid w:val="002521FC"/>
    <w:rsid w:val="002530FA"/>
    <w:rsid w:val="0025319B"/>
    <w:rsid w:val="0025371A"/>
    <w:rsid w:val="0025542A"/>
    <w:rsid w:val="0025552C"/>
    <w:rsid w:val="00255CAF"/>
    <w:rsid w:val="002600C2"/>
    <w:rsid w:val="00260884"/>
    <w:rsid w:val="002617DF"/>
    <w:rsid w:val="00262194"/>
    <w:rsid w:val="0026239F"/>
    <w:rsid w:val="002625A5"/>
    <w:rsid w:val="00265F6A"/>
    <w:rsid w:val="00266B8E"/>
    <w:rsid w:val="0027108F"/>
    <w:rsid w:val="00271926"/>
    <w:rsid w:val="002726D9"/>
    <w:rsid w:val="00272E02"/>
    <w:rsid w:val="00275E5D"/>
    <w:rsid w:val="0028033D"/>
    <w:rsid w:val="00280439"/>
    <w:rsid w:val="00280731"/>
    <w:rsid w:val="00280B62"/>
    <w:rsid w:val="00281C26"/>
    <w:rsid w:val="0028217A"/>
    <w:rsid w:val="00283363"/>
    <w:rsid w:val="00283D81"/>
    <w:rsid w:val="00285048"/>
    <w:rsid w:val="00285D0F"/>
    <w:rsid w:val="002913B1"/>
    <w:rsid w:val="00292BCC"/>
    <w:rsid w:val="00294545"/>
    <w:rsid w:val="00297525"/>
    <w:rsid w:val="002A0E44"/>
    <w:rsid w:val="002A0EBF"/>
    <w:rsid w:val="002A36A1"/>
    <w:rsid w:val="002A4ECE"/>
    <w:rsid w:val="002A4EDD"/>
    <w:rsid w:val="002B1525"/>
    <w:rsid w:val="002B318E"/>
    <w:rsid w:val="002B4A25"/>
    <w:rsid w:val="002B6429"/>
    <w:rsid w:val="002B7C9B"/>
    <w:rsid w:val="002C316D"/>
    <w:rsid w:val="002C357B"/>
    <w:rsid w:val="002C5F23"/>
    <w:rsid w:val="002D0627"/>
    <w:rsid w:val="002D372F"/>
    <w:rsid w:val="002D5796"/>
    <w:rsid w:val="002E132A"/>
    <w:rsid w:val="002E20C5"/>
    <w:rsid w:val="002E2311"/>
    <w:rsid w:val="002E331D"/>
    <w:rsid w:val="002E4326"/>
    <w:rsid w:val="002E5E9F"/>
    <w:rsid w:val="002E5FCF"/>
    <w:rsid w:val="002E6968"/>
    <w:rsid w:val="002E74E6"/>
    <w:rsid w:val="002F6D93"/>
    <w:rsid w:val="00301EBE"/>
    <w:rsid w:val="003051D6"/>
    <w:rsid w:val="003055B7"/>
    <w:rsid w:val="00305D40"/>
    <w:rsid w:val="003100A9"/>
    <w:rsid w:val="00312698"/>
    <w:rsid w:val="003145F9"/>
    <w:rsid w:val="003147C2"/>
    <w:rsid w:val="00315241"/>
    <w:rsid w:val="0031582D"/>
    <w:rsid w:val="00316277"/>
    <w:rsid w:val="0032195A"/>
    <w:rsid w:val="003228B5"/>
    <w:rsid w:val="00322C30"/>
    <w:rsid w:val="00325B6D"/>
    <w:rsid w:val="00326FD7"/>
    <w:rsid w:val="00334B01"/>
    <w:rsid w:val="00335C91"/>
    <w:rsid w:val="00337D36"/>
    <w:rsid w:val="00337DCA"/>
    <w:rsid w:val="00341C22"/>
    <w:rsid w:val="003431EA"/>
    <w:rsid w:val="0034772D"/>
    <w:rsid w:val="003512E7"/>
    <w:rsid w:val="00353376"/>
    <w:rsid w:val="0035381C"/>
    <w:rsid w:val="003540C5"/>
    <w:rsid w:val="00354FC8"/>
    <w:rsid w:val="00360B61"/>
    <w:rsid w:val="003615DE"/>
    <w:rsid w:val="00362ADE"/>
    <w:rsid w:val="00362F8D"/>
    <w:rsid w:val="003637F0"/>
    <w:rsid w:val="00363A1C"/>
    <w:rsid w:val="00363DC8"/>
    <w:rsid w:val="003644D0"/>
    <w:rsid w:val="0036466E"/>
    <w:rsid w:val="00364749"/>
    <w:rsid w:val="00365B00"/>
    <w:rsid w:val="00366627"/>
    <w:rsid w:val="00371B41"/>
    <w:rsid w:val="00371CA5"/>
    <w:rsid w:val="0037528F"/>
    <w:rsid w:val="00376E83"/>
    <w:rsid w:val="003772EE"/>
    <w:rsid w:val="0038278A"/>
    <w:rsid w:val="003837BB"/>
    <w:rsid w:val="00384790"/>
    <w:rsid w:val="0039098B"/>
    <w:rsid w:val="0039125C"/>
    <w:rsid w:val="00395C4C"/>
    <w:rsid w:val="00395FBF"/>
    <w:rsid w:val="00396CCC"/>
    <w:rsid w:val="003A1EBE"/>
    <w:rsid w:val="003A22B6"/>
    <w:rsid w:val="003A2E25"/>
    <w:rsid w:val="003A4B92"/>
    <w:rsid w:val="003A594C"/>
    <w:rsid w:val="003A7BAF"/>
    <w:rsid w:val="003B000A"/>
    <w:rsid w:val="003B00C8"/>
    <w:rsid w:val="003B03CC"/>
    <w:rsid w:val="003B053C"/>
    <w:rsid w:val="003B0D0E"/>
    <w:rsid w:val="003B2404"/>
    <w:rsid w:val="003B34B6"/>
    <w:rsid w:val="003B4CC4"/>
    <w:rsid w:val="003B6398"/>
    <w:rsid w:val="003B7964"/>
    <w:rsid w:val="003C0CA1"/>
    <w:rsid w:val="003C1E7E"/>
    <w:rsid w:val="003C33DB"/>
    <w:rsid w:val="003C39E5"/>
    <w:rsid w:val="003C4451"/>
    <w:rsid w:val="003C45F1"/>
    <w:rsid w:val="003C5B85"/>
    <w:rsid w:val="003C6448"/>
    <w:rsid w:val="003C67AE"/>
    <w:rsid w:val="003D0114"/>
    <w:rsid w:val="003D223E"/>
    <w:rsid w:val="003D2B26"/>
    <w:rsid w:val="003D338D"/>
    <w:rsid w:val="003D6DA6"/>
    <w:rsid w:val="003E1705"/>
    <w:rsid w:val="003E3404"/>
    <w:rsid w:val="003E35C9"/>
    <w:rsid w:val="003E7DD8"/>
    <w:rsid w:val="003F0473"/>
    <w:rsid w:val="003F0613"/>
    <w:rsid w:val="003F210B"/>
    <w:rsid w:val="003F3715"/>
    <w:rsid w:val="003F4C13"/>
    <w:rsid w:val="00400CD6"/>
    <w:rsid w:val="00403283"/>
    <w:rsid w:val="00404181"/>
    <w:rsid w:val="00404C27"/>
    <w:rsid w:val="00406416"/>
    <w:rsid w:val="00406E45"/>
    <w:rsid w:val="00406F02"/>
    <w:rsid w:val="004100F6"/>
    <w:rsid w:val="00410708"/>
    <w:rsid w:val="0041443A"/>
    <w:rsid w:val="00420432"/>
    <w:rsid w:val="00420F59"/>
    <w:rsid w:val="00422108"/>
    <w:rsid w:val="00424EAF"/>
    <w:rsid w:val="0042531E"/>
    <w:rsid w:val="00426249"/>
    <w:rsid w:val="0042642A"/>
    <w:rsid w:val="00427F65"/>
    <w:rsid w:val="004309E5"/>
    <w:rsid w:val="00430C30"/>
    <w:rsid w:val="00431E36"/>
    <w:rsid w:val="00435882"/>
    <w:rsid w:val="004379AE"/>
    <w:rsid w:val="00441975"/>
    <w:rsid w:val="0044223B"/>
    <w:rsid w:val="0044224F"/>
    <w:rsid w:val="00442F3E"/>
    <w:rsid w:val="004462F5"/>
    <w:rsid w:val="00447981"/>
    <w:rsid w:val="00452011"/>
    <w:rsid w:val="004527D0"/>
    <w:rsid w:val="004542AC"/>
    <w:rsid w:val="004543DD"/>
    <w:rsid w:val="00454F51"/>
    <w:rsid w:val="00461006"/>
    <w:rsid w:val="00461E8B"/>
    <w:rsid w:val="00465C35"/>
    <w:rsid w:val="00467673"/>
    <w:rsid w:val="00471CCA"/>
    <w:rsid w:val="00472040"/>
    <w:rsid w:val="00472D60"/>
    <w:rsid w:val="00472E5F"/>
    <w:rsid w:val="00473F26"/>
    <w:rsid w:val="00473FC8"/>
    <w:rsid w:val="00474CB1"/>
    <w:rsid w:val="004754E9"/>
    <w:rsid w:val="00475919"/>
    <w:rsid w:val="00475F83"/>
    <w:rsid w:val="00476F1B"/>
    <w:rsid w:val="004807B9"/>
    <w:rsid w:val="004836EE"/>
    <w:rsid w:val="00483AF6"/>
    <w:rsid w:val="00483B61"/>
    <w:rsid w:val="00484A32"/>
    <w:rsid w:val="004857B7"/>
    <w:rsid w:val="00486803"/>
    <w:rsid w:val="00490225"/>
    <w:rsid w:val="00492CBB"/>
    <w:rsid w:val="004945BC"/>
    <w:rsid w:val="0049550D"/>
    <w:rsid w:val="00495791"/>
    <w:rsid w:val="00496CB6"/>
    <w:rsid w:val="00497BC3"/>
    <w:rsid w:val="00497E0F"/>
    <w:rsid w:val="004A2D4E"/>
    <w:rsid w:val="004A2E8D"/>
    <w:rsid w:val="004A3EAE"/>
    <w:rsid w:val="004A69F1"/>
    <w:rsid w:val="004A732F"/>
    <w:rsid w:val="004A7A3E"/>
    <w:rsid w:val="004A7ECF"/>
    <w:rsid w:val="004B0693"/>
    <w:rsid w:val="004B0814"/>
    <w:rsid w:val="004B210C"/>
    <w:rsid w:val="004B2451"/>
    <w:rsid w:val="004B253C"/>
    <w:rsid w:val="004B41C2"/>
    <w:rsid w:val="004B5A8C"/>
    <w:rsid w:val="004B74A0"/>
    <w:rsid w:val="004C0204"/>
    <w:rsid w:val="004C0FE9"/>
    <w:rsid w:val="004C29D2"/>
    <w:rsid w:val="004C2BB1"/>
    <w:rsid w:val="004C486B"/>
    <w:rsid w:val="004C77F3"/>
    <w:rsid w:val="004C798F"/>
    <w:rsid w:val="004C7F0C"/>
    <w:rsid w:val="004D2546"/>
    <w:rsid w:val="004D2661"/>
    <w:rsid w:val="004D5BFF"/>
    <w:rsid w:val="004D69EC"/>
    <w:rsid w:val="004D7758"/>
    <w:rsid w:val="004E0F65"/>
    <w:rsid w:val="004E5FA8"/>
    <w:rsid w:val="004F1071"/>
    <w:rsid w:val="004F12C2"/>
    <w:rsid w:val="004F2CC6"/>
    <w:rsid w:val="004F3090"/>
    <w:rsid w:val="004F34F2"/>
    <w:rsid w:val="004F43F8"/>
    <w:rsid w:val="004F457E"/>
    <w:rsid w:val="004F4860"/>
    <w:rsid w:val="004F7807"/>
    <w:rsid w:val="004F792E"/>
    <w:rsid w:val="00503440"/>
    <w:rsid w:val="00504182"/>
    <w:rsid w:val="00507027"/>
    <w:rsid w:val="00507047"/>
    <w:rsid w:val="00511088"/>
    <w:rsid w:val="005122BA"/>
    <w:rsid w:val="005129AA"/>
    <w:rsid w:val="0051321D"/>
    <w:rsid w:val="00513C8B"/>
    <w:rsid w:val="00514325"/>
    <w:rsid w:val="00514B1E"/>
    <w:rsid w:val="00515593"/>
    <w:rsid w:val="00516B26"/>
    <w:rsid w:val="00522C32"/>
    <w:rsid w:val="00523211"/>
    <w:rsid w:val="00523C86"/>
    <w:rsid w:val="00524BC6"/>
    <w:rsid w:val="0053020D"/>
    <w:rsid w:val="005311DE"/>
    <w:rsid w:val="00532112"/>
    <w:rsid w:val="005324C9"/>
    <w:rsid w:val="00532836"/>
    <w:rsid w:val="00533149"/>
    <w:rsid w:val="00533493"/>
    <w:rsid w:val="00533583"/>
    <w:rsid w:val="0053380E"/>
    <w:rsid w:val="00534C54"/>
    <w:rsid w:val="0054084A"/>
    <w:rsid w:val="00541E71"/>
    <w:rsid w:val="0054398C"/>
    <w:rsid w:val="005448EC"/>
    <w:rsid w:val="00551173"/>
    <w:rsid w:val="00561365"/>
    <w:rsid w:val="00561EA6"/>
    <w:rsid w:val="005625B9"/>
    <w:rsid w:val="00565C6E"/>
    <w:rsid w:val="0056667A"/>
    <w:rsid w:val="00567B11"/>
    <w:rsid w:val="00567C1A"/>
    <w:rsid w:val="00567E77"/>
    <w:rsid w:val="005708E3"/>
    <w:rsid w:val="00571395"/>
    <w:rsid w:val="00572A06"/>
    <w:rsid w:val="005748A3"/>
    <w:rsid w:val="00576351"/>
    <w:rsid w:val="005833E0"/>
    <w:rsid w:val="00584ABC"/>
    <w:rsid w:val="00585244"/>
    <w:rsid w:val="00585E09"/>
    <w:rsid w:val="00586AFD"/>
    <w:rsid w:val="00590B80"/>
    <w:rsid w:val="0059191E"/>
    <w:rsid w:val="0059351E"/>
    <w:rsid w:val="00593ACE"/>
    <w:rsid w:val="00595686"/>
    <w:rsid w:val="005972B7"/>
    <w:rsid w:val="005A1D55"/>
    <w:rsid w:val="005A4AF9"/>
    <w:rsid w:val="005A69B6"/>
    <w:rsid w:val="005A7CA0"/>
    <w:rsid w:val="005B0A0B"/>
    <w:rsid w:val="005B5A43"/>
    <w:rsid w:val="005B7A64"/>
    <w:rsid w:val="005B7D44"/>
    <w:rsid w:val="005C29B5"/>
    <w:rsid w:val="005C2B92"/>
    <w:rsid w:val="005C4F9B"/>
    <w:rsid w:val="005C6472"/>
    <w:rsid w:val="005C74B4"/>
    <w:rsid w:val="005D04F2"/>
    <w:rsid w:val="005D16D6"/>
    <w:rsid w:val="005D4C63"/>
    <w:rsid w:val="005D55CB"/>
    <w:rsid w:val="005D5F29"/>
    <w:rsid w:val="005D601C"/>
    <w:rsid w:val="005D6982"/>
    <w:rsid w:val="005E0F48"/>
    <w:rsid w:val="005E66ED"/>
    <w:rsid w:val="005E7907"/>
    <w:rsid w:val="005F00B7"/>
    <w:rsid w:val="005F23E3"/>
    <w:rsid w:val="005F27F4"/>
    <w:rsid w:val="005F2BE3"/>
    <w:rsid w:val="005F2D48"/>
    <w:rsid w:val="005F5923"/>
    <w:rsid w:val="005F744C"/>
    <w:rsid w:val="005F788A"/>
    <w:rsid w:val="005F7E21"/>
    <w:rsid w:val="00601B57"/>
    <w:rsid w:val="0060367B"/>
    <w:rsid w:val="00603E07"/>
    <w:rsid w:val="00604183"/>
    <w:rsid w:val="00605484"/>
    <w:rsid w:val="00605C23"/>
    <w:rsid w:val="00610F8A"/>
    <w:rsid w:val="00611851"/>
    <w:rsid w:val="00611AC0"/>
    <w:rsid w:val="0061203A"/>
    <w:rsid w:val="00612339"/>
    <w:rsid w:val="00612F51"/>
    <w:rsid w:val="00613312"/>
    <w:rsid w:val="00613617"/>
    <w:rsid w:val="00617339"/>
    <w:rsid w:val="00617C40"/>
    <w:rsid w:val="006207B3"/>
    <w:rsid w:val="00622E17"/>
    <w:rsid w:val="00623632"/>
    <w:rsid w:val="00624E6F"/>
    <w:rsid w:val="00630149"/>
    <w:rsid w:val="00631F1D"/>
    <w:rsid w:val="006322FF"/>
    <w:rsid w:val="0063232E"/>
    <w:rsid w:val="00634B3A"/>
    <w:rsid w:val="0063511A"/>
    <w:rsid w:val="00636B36"/>
    <w:rsid w:val="00636E22"/>
    <w:rsid w:val="00637273"/>
    <w:rsid w:val="00643748"/>
    <w:rsid w:val="0064460C"/>
    <w:rsid w:val="00645B02"/>
    <w:rsid w:val="0064677F"/>
    <w:rsid w:val="00647047"/>
    <w:rsid w:val="00651A51"/>
    <w:rsid w:val="00652691"/>
    <w:rsid w:val="00653614"/>
    <w:rsid w:val="0065477F"/>
    <w:rsid w:val="00655393"/>
    <w:rsid w:val="006559B9"/>
    <w:rsid w:val="00656925"/>
    <w:rsid w:val="00656C34"/>
    <w:rsid w:val="0066155A"/>
    <w:rsid w:val="00661BEF"/>
    <w:rsid w:val="006648AF"/>
    <w:rsid w:val="006703FC"/>
    <w:rsid w:val="006710C6"/>
    <w:rsid w:val="00671DDF"/>
    <w:rsid w:val="006732A4"/>
    <w:rsid w:val="0067562A"/>
    <w:rsid w:val="00676052"/>
    <w:rsid w:val="00677267"/>
    <w:rsid w:val="00677E36"/>
    <w:rsid w:val="0068702D"/>
    <w:rsid w:val="00690BCB"/>
    <w:rsid w:val="006910DD"/>
    <w:rsid w:val="00693327"/>
    <w:rsid w:val="006936C8"/>
    <w:rsid w:val="00693DD1"/>
    <w:rsid w:val="00694BC5"/>
    <w:rsid w:val="00695235"/>
    <w:rsid w:val="00695A20"/>
    <w:rsid w:val="006A01A1"/>
    <w:rsid w:val="006A059A"/>
    <w:rsid w:val="006A34CE"/>
    <w:rsid w:val="006A4EF0"/>
    <w:rsid w:val="006A7D58"/>
    <w:rsid w:val="006B5635"/>
    <w:rsid w:val="006B76CC"/>
    <w:rsid w:val="006C2EED"/>
    <w:rsid w:val="006C3611"/>
    <w:rsid w:val="006C3620"/>
    <w:rsid w:val="006C5958"/>
    <w:rsid w:val="006C6FEC"/>
    <w:rsid w:val="006D1AA6"/>
    <w:rsid w:val="006D2E33"/>
    <w:rsid w:val="006D3AC0"/>
    <w:rsid w:val="006D46A4"/>
    <w:rsid w:val="006D5CD1"/>
    <w:rsid w:val="006E0E0D"/>
    <w:rsid w:val="006E2BFB"/>
    <w:rsid w:val="006E4231"/>
    <w:rsid w:val="006E4E0E"/>
    <w:rsid w:val="006E6B42"/>
    <w:rsid w:val="006E7083"/>
    <w:rsid w:val="006F03A2"/>
    <w:rsid w:val="006F29DE"/>
    <w:rsid w:val="006F53FD"/>
    <w:rsid w:val="006F69EC"/>
    <w:rsid w:val="006F6AE8"/>
    <w:rsid w:val="006F7F0B"/>
    <w:rsid w:val="00703A85"/>
    <w:rsid w:val="00704A7F"/>
    <w:rsid w:val="00705AFB"/>
    <w:rsid w:val="007063D2"/>
    <w:rsid w:val="007077A8"/>
    <w:rsid w:val="00707D9F"/>
    <w:rsid w:val="0071029C"/>
    <w:rsid w:val="007109DF"/>
    <w:rsid w:val="00711531"/>
    <w:rsid w:val="0071219A"/>
    <w:rsid w:val="00713901"/>
    <w:rsid w:val="00713C37"/>
    <w:rsid w:val="00715FBC"/>
    <w:rsid w:val="0071642B"/>
    <w:rsid w:val="00717028"/>
    <w:rsid w:val="00721D7D"/>
    <w:rsid w:val="00725368"/>
    <w:rsid w:val="00726966"/>
    <w:rsid w:val="00731802"/>
    <w:rsid w:val="007334BF"/>
    <w:rsid w:val="007416D2"/>
    <w:rsid w:val="00743673"/>
    <w:rsid w:val="00743E97"/>
    <w:rsid w:val="00747C6F"/>
    <w:rsid w:val="00751851"/>
    <w:rsid w:val="00752660"/>
    <w:rsid w:val="00753B21"/>
    <w:rsid w:val="007551E8"/>
    <w:rsid w:val="007603E3"/>
    <w:rsid w:val="007616F0"/>
    <w:rsid w:val="00761E79"/>
    <w:rsid w:val="0076361A"/>
    <w:rsid w:val="00765190"/>
    <w:rsid w:val="007660B0"/>
    <w:rsid w:val="007667F6"/>
    <w:rsid w:val="00774B6C"/>
    <w:rsid w:val="00774E74"/>
    <w:rsid w:val="00775653"/>
    <w:rsid w:val="00776447"/>
    <w:rsid w:val="007773E8"/>
    <w:rsid w:val="0077772D"/>
    <w:rsid w:val="00777F92"/>
    <w:rsid w:val="00780EBE"/>
    <w:rsid w:val="0078114F"/>
    <w:rsid w:val="007836AE"/>
    <w:rsid w:val="00785F2E"/>
    <w:rsid w:val="0079107E"/>
    <w:rsid w:val="007920F6"/>
    <w:rsid w:val="00793100"/>
    <w:rsid w:val="007956AF"/>
    <w:rsid w:val="007A3BD8"/>
    <w:rsid w:val="007A3DB6"/>
    <w:rsid w:val="007A5192"/>
    <w:rsid w:val="007A6902"/>
    <w:rsid w:val="007A6D92"/>
    <w:rsid w:val="007B017B"/>
    <w:rsid w:val="007B35AF"/>
    <w:rsid w:val="007B4F5E"/>
    <w:rsid w:val="007B581D"/>
    <w:rsid w:val="007B6C9A"/>
    <w:rsid w:val="007B78AF"/>
    <w:rsid w:val="007B7A85"/>
    <w:rsid w:val="007C0D15"/>
    <w:rsid w:val="007C1930"/>
    <w:rsid w:val="007C297C"/>
    <w:rsid w:val="007C5767"/>
    <w:rsid w:val="007C7601"/>
    <w:rsid w:val="007C7B3A"/>
    <w:rsid w:val="007D029E"/>
    <w:rsid w:val="007D1965"/>
    <w:rsid w:val="007D40D0"/>
    <w:rsid w:val="007D6966"/>
    <w:rsid w:val="007E2FD2"/>
    <w:rsid w:val="007E4DE6"/>
    <w:rsid w:val="007F1519"/>
    <w:rsid w:val="007F2562"/>
    <w:rsid w:val="007F3069"/>
    <w:rsid w:val="007F40A1"/>
    <w:rsid w:val="007F52BB"/>
    <w:rsid w:val="007F7D9D"/>
    <w:rsid w:val="00801BBD"/>
    <w:rsid w:val="00805AA2"/>
    <w:rsid w:val="0080711B"/>
    <w:rsid w:val="00807742"/>
    <w:rsid w:val="00807F01"/>
    <w:rsid w:val="00812024"/>
    <w:rsid w:val="008132C0"/>
    <w:rsid w:val="00814999"/>
    <w:rsid w:val="00815830"/>
    <w:rsid w:val="0081692B"/>
    <w:rsid w:val="00824312"/>
    <w:rsid w:val="008243D6"/>
    <w:rsid w:val="00825026"/>
    <w:rsid w:val="00825B39"/>
    <w:rsid w:val="00831605"/>
    <w:rsid w:val="00831A93"/>
    <w:rsid w:val="00831D52"/>
    <w:rsid w:val="00833F1E"/>
    <w:rsid w:val="00834323"/>
    <w:rsid w:val="00835750"/>
    <w:rsid w:val="00835EB4"/>
    <w:rsid w:val="00841500"/>
    <w:rsid w:val="008426A9"/>
    <w:rsid w:val="00844645"/>
    <w:rsid w:val="00844A66"/>
    <w:rsid w:val="00844C10"/>
    <w:rsid w:val="00844DE4"/>
    <w:rsid w:val="00845651"/>
    <w:rsid w:val="00846CCE"/>
    <w:rsid w:val="00847F55"/>
    <w:rsid w:val="008515B4"/>
    <w:rsid w:val="00852845"/>
    <w:rsid w:val="00857527"/>
    <w:rsid w:val="00857BFA"/>
    <w:rsid w:val="0086070B"/>
    <w:rsid w:val="00860EA6"/>
    <w:rsid w:val="00860F51"/>
    <w:rsid w:val="00861F34"/>
    <w:rsid w:val="00862587"/>
    <w:rsid w:val="00862DEA"/>
    <w:rsid w:val="00864051"/>
    <w:rsid w:val="00864268"/>
    <w:rsid w:val="008666CD"/>
    <w:rsid w:val="00866744"/>
    <w:rsid w:val="008704DA"/>
    <w:rsid w:val="00871191"/>
    <w:rsid w:val="008731C1"/>
    <w:rsid w:val="00875A8E"/>
    <w:rsid w:val="008773B5"/>
    <w:rsid w:val="00880544"/>
    <w:rsid w:val="00881169"/>
    <w:rsid w:val="008912CB"/>
    <w:rsid w:val="00891D3B"/>
    <w:rsid w:val="00892242"/>
    <w:rsid w:val="0089252F"/>
    <w:rsid w:val="00892568"/>
    <w:rsid w:val="008936A5"/>
    <w:rsid w:val="00893EAE"/>
    <w:rsid w:val="0089681E"/>
    <w:rsid w:val="008A047D"/>
    <w:rsid w:val="008A0E6A"/>
    <w:rsid w:val="008A1D02"/>
    <w:rsid w:val="008A4A6C"/>
    <w:rsid w:val="008B0335"/>
    <w:rsid w:val="008B1EE6"/>
    <w:rsid w:val="008B2506"/>
    <w:rsid w:val="008B4848"/>
    <w:rsid w:val="008B4B25"/>
    <w:rsid w:val="008B5B6D"/>
    <w:rsid w:val="008B5D48"/>
    <w:rsid w:val="008B6494"/>
    <w:rsid w:val="008C0A54"/>
    <w:rsid w:val="008C1480"/>
    <w:rsid w:val="008C3EC9"/>
    <w:rsid w:val="008C5C73"/>
    <w:rsid w:val="008C6B8F"/>
    <w:rsid w:val="008D004E"/>
    <w:rsid w:val="008D0A35"/>
    <w:rsid w:val="008D27CC"/>
    <w:rsid w:val="008D2C61"/>
    <w:rsid w:val="008D2CF9"/>
    <w:rsid w:val="008D42B7"/>
    <w:rsid w:val="008D683C"/>
    <w:rsid w:val="008D7C4A"/>
    <w:rsid w:val="008E137C"/>
    <w:rsid w:val="008E317E"/>
    <w:rsid w:val="008E385C"/>
    <w:rsid w:val="008E4AC0"/>
    <w:rsid w:val="008E4FF4"/>
    <w:rsid w:val="008E5324"/>
    <w:rsid w:val="008E5390"/>
    <w:rsid w:val="008E5715"/>
    <w:rsid w:val="008E5D70"/>
    <w:rsid w:val="008E6D98"/>
    <w:rsid w:val="008F02C0"/>
    <w:rsid w:val="008F08C7"/>
    <w:rsid w:val="008F2520"/>
    <w:rsid w:val="008F31FF"/>
    <w:rsid w:val="008F32D8"/>
    <w:rsid w:val="008F3464"/>
    <w:rsid w:val="008F455C"/>
    <w:rsid w:val="008F5A20"/>
    <w:rsid w:val="008F5FF5"/>
    <w:rsid w:val="008F6DE4"/>
    <w:rsid w:val="008F79E7"/>
    <w:rsid w:val="009061BB"/>
    <w:rsid w:val="00910595"/>
    <w:rsid w:val="00914FC6"/>
    <w:rsid w:val="0091509E"/>
    <w:rsid w:val="0091543C"/>
    <w:rsid w:val="00915D27"/>
    <w:rsid w:val="009165BE"/>
    <w:rsid w:val="009166A4"/>
    <w:rsid w:val="00917758"/>
    <w:rsid w:val="00921585"/>
    <w:rsid w:val="009219C1"/>
    <w:rsid w:val="00922666"/>
    <w:rsid w:val="00922C25"/>
    <w:rsid w:val="009233E3"/>
    <w:rsid w:val="00925205"/>
    <w:rsid w:val="009308B9"/>
    <w:rsid w:val="00930AFD"/>
    <w:rsid w:val="009328C6"/>
    <w:rsid w:val="00933CC7"/>
    <w:rsid w:val="00933ED1"/>
    <w:rsid w:val="00934139"/>
    <w:rsid w:val="0093496E"/>
    <w:rsid w:val="00937A30"/>
    <w:rsid w:val="00952136"/>
    <w:rsid w:val="00954017"/>
    <w:rsid w:val="009548D8"/>
    <w:rsid w:val="00955B60"/>
    <w:rsid w:val="00956AFF"/>
    <w:rsid w:val="00957004"/>
    <w:rsid w:val="009571A3"/>
    <w:rsid w:val="009573C1"/>
    <w:rsid w:val="00957BFC"/>
    <w:rsid w:val="00957C72"/>
    <w:rsid w:val="009624CC"/>
    <w:rsid w:val="00962AC5"/>
    <w:rsid w:val="00963AA6"/>
    <w:rsid w:val="00966326"/>
    <w:rsid w:val="00966BCF"/>
    <w:rsid w:val="00966C53"/>
    <w:rsid w:val="00973430"/>
    <w:rsid w:val="0097435C"/>
    <w:rsid w:val="00975DA3"/>
    <w:rsid w:val="00976DF4"/>
    <w:rsid w:val="00977964"/>
    <w:rsid w:val="009813DA"/>
    <w:rsid w:val="00981F4D"/>
    <w:rsid w:val="009827F0"/>
    <w:rsid w:val="00982B38"/>
    <w:rsid w:val="009839A6"/>
    <w:rsid w:val="00985938"/>
    <w:rsid w:val="0098607B"/>
    <w:rsid w:val="009861ED"/>
    <w:rsid w:val="009861F5"/>
    <w:rsid w:val="009877D6"/>
    <w:rsid w:val="00991552"/>
    <w:rsid w:val="00991956"/>
    <w:rsid w:val="00993BCD"/>
    <w:rsid w:val="00995632"/>
    <w:rsid w:val="00996719"/>
    <w:rsid w:val="00997A67"/>
    <w:rsid w:val="00997C1F"/>
    <w:rsid w:val="009A117A"/>
    <w:rsid w:val="009A1274"/>
    <w:rsid w:val="009A29C7"/>
    <w:rsid w:val="009A5AA1"/>
    <w:rsid w:val="009A7074"/>
    <w:rsid w:val="009B02C2"/>
    <w:rsid w:val="009B32EA"/>
    <w:rsid w:val="009B53FA"/>
    <w:rsid w:val="009B617D"/>
    <w:rsid w:val="009B6C5E"/>
    <w:rsid w:val="009B71A0"/>
    <w:rsid w:val="009B79DF"/>
    <w:rsid w:val="009C01F5"/>
    <w:rsid w:val="009C3613"/>
    <w:rsid w:val="009C4821"/>
    <w:rsid w:val="009C6125"/>
    <w:rsid w:val="009C68A6"/>
    <w:rsid w:val="009C6F37"/>
    <w:rsid w:val="009C721D"/>
    <w:rsid w:val="009C798B"/>
    <w:rsid w:val="009D33EF"/>
    <w:rsid w:val="009D5487"/>
    <w:rsid w:val="009D5779"/>
    <w:rsid w:val="009D6D11"/>
    <w:rsid w:val="009E1F5D"/>
    <w:rsid w:val="009E2B9E"/>
    <w:rsid w:val="009E5E4C"/>
    <w:rsid w:val="009E6B51"/>
    <w:rsid w:val="009F07B3"/>
    <w:rsid w:val="009F105E"/>
    <w:rsid w:val="009F27A9"/>
    <w:rsid w:val="009F28ED"/>
    <w:rsid w:val="009F4185"/>
    <w:rsid w:val="009F64E7"/>
    <w:rsid w:val="009F7176"/>
    <w:rsid w:val="00A0007F"/>
    <w:rsid w:val="00A0057B"/>
    <w:rsid w:val="00A01B83"/>
    <w:rsid w:val="00A03016"/>
    <w:rsid w:val="00A034A2"/>
    <w:rsid w:val="00A03930"/>
    <w:rsid w:val="00A05FA9"/>
    <w:rsid w:val="00A061D9"/>
    <w:rsid w:val="00A0717B"/>
    <w:rsid w:val="00A078B2"/>
    <w:rsid w:val="00A07AAF"/>
    <w:rsid w:val="00A07D66"/>
    <w:rsid w:val="00A11015"/>
    <w:rsid w:val="00A11121"/>
    <w:rsid w:val="00A131F2"/>
    <w:rsid w:val="00A14744"/>
    <w:rsid w:val="00A16E58"/>
    <w:rsid w:val="00A172D0"/>
    <w:rsid w:val="00A20B98"/>
    <w:rsid w:val="00A222EE"/>
    <w:rsid w:val="00A24610"/>
    <w:rsid w:val="00A25715"/>
    <w:rsid w:val="00A25BDA"/>
    <w:rsid w:val="00A25E65"/>
    <w:rsid w:val="00A26607"/>
    <w:rsid w:val="00A272DE"/>
    <w:rsid w:val="00A27346"/>
    <w:rsid w:val="00A27538"/>
    <w:rsid w:val="00A312BE"/>
    <w:rsid w:val="00A31A1E"/>
    <w:rsid w:val="00A323AC"/>
    <w:rsid w:val="00A33BCF"/>
    <w:rsid w:val="00A33F8D"/>
    <w:rsid w:val="00A34C76"/>
    <w:rsid w:val="00A35BA8"/>
    <w:rsid w:val="00A374F9"/>
    <w:rsid w:val="00A442DF"/>
    <w:rsid w:val="00A4578B"/>
    <w:rsid w:val="00A46CC4"/>
    <w:rsid w:val="00A53BB8"/>
    <w:rsid w:val="00A54961"/>
    <w:rsid w:val="00A56BF7"/>
    <w:rsid w:val="00A608D7"/>
    <w:rsid w:val="00A60983"/>
    <w:rsid w:val="00A6186D"/>
    <w:rsid w:val="00A648FE"/>
    <w:rsid w:val="00A67A78"/>
    <w:rsid w:val="00A714C8"/>
    <w:rsid w:val="00A74EB7"/>
    <w:rsid w:val="00A75F3B"/>
    <w:rsid w:val="00A76CA9"/>
    <w:rsid w:val="00A802DD"/>
    <w:rsid w:val="00A81BDD"/>
    <w:rsid w:val="00A83111"/>
    <w:rsid w:val="00A83ED0"/>
    <w:rsid w:val="00A85BD8"/>
    <w:rsid w:val="00A86D17"/>
    <w:rsid w:val="00A90C4E"/>
    <w:rsid w:val="00A930DC"/>
    <w:rsid w:val="00A948F3"/>
    <w:rsid w:val="00A964DD"/>
    <w:rsid w:val="00AA18F0"/>
    <w:rsid w:val="00AA2627"/>
    <w:rsid w:val="00AA3A8C"/>
    <w:rsid w:val="00AA4100"/>
    <w:rsid w:val="00AA5DCE"/>
    <w:rsid w:val="00AB2CAA"/>
    <w:rsid w:val="00AB2E91"/>
    <w:rsid w:val="00AB311D"/>
    <w:rsid w:val="00AB58A4"/>
    <w:rsid w:val="00AB59B9"/>
    <w:rsid w:val="00AB6AB1"/>
    <w:rsid w:val="00AB77EE"/>
    <w:rsid w:val="00AC1B74"/>
    <w:rsid w:val="00AC4BA8"/>
    <w:rsid w:val="00AC5FA6"/>
    <w:rsid w:val="00AC6294"/>
    <w:rsid w:val="00AD015E"/>
    <w:rsid w:val="00AD151A"/>
    <w:rsid w:val="00AD1A4E"/>
    <w:rsid w:val="00AD2EF4"/>
    <w:rsid w:val="00AD3855"/>
    <w:rsid w:val="00AD6A65"/>
    <w:rsid w:val="00AD71E8"/>
    <w:rsid w:val="00AD7C2C"/>
    <w:rsid w:val="00AD7F0B"/>
    <w:rsid w:val="00AE03E0"/>
    <w:rsid w:val="00AE1A40"/>
    <w:rsid w:val="00AE26BE"/>
    <w:rsid w:val="00AE2975"/>
    <w:rsid w:val="00AE3A34"/>
    <w:rsid w:val="00AE4668"/>
    <w:rsid w:val="00AE480D"/>
    <w:rsid w:val="00AE4F29"/>
    <w:rsid w:val="00AE6E4A"/>
    <w:rsid w:val="00AF0886"/>
    <w:rsid w:val="00AF6CEC"/>
    <w:rsid w:val="00B0025E"/>
    <w:rsid w:val="00B038EA"/>
    <w:rsid w:val="00B04382"/>
    <w:rsid w:val="00B0669E"/>
    <w:rsid w:val="00B1162F"/>
    <w:rsid w:val="00B14158"/>
    <w:rsid w:val="00B160A6"/>
    <w:rsid w:val="00B171B5"/>
    <w:rsid w:val="00B212C0"/>
    <w:rsid w:val="00B2152A"/>
    <w:rsid w:val="00B23273"/>
    <w:rsid w:val="00B2386A"/>
    <w:rsid w:val="00B27B3A"/>
    <w:rsid w:val="00B307E5"/>
    <w:rsid w:val="00B361B6"/>
    <w:rsid w:val="00B365AC"/>
    <w:rsid w:val="00B372D5"/>
    <w:rsid w:val="00B40DD1"/>
    <w:rsid w:val="00B41C5C"/>
    <w:rsid w:val="00B51088"/>
    <w:rsid w:val="00B519F5"/>
    <w:rsid w:val="00B528DC"/>
    <w:rsid w:val="00B56C0B"/>
    <w:rsid w:val="00B570FD"/>
    <w:rsid w:val="00B575E9"/>
    <w:rsid w:val="00B579FA"/>
    <w:rsid w:val="00B623AA"/>
    <w:rsid w:val="00B62637"/>
    <w:rsid w:val="00B652C3"/>
    <w:rsid w:val="00B659A4"/>
    <w:rsid w:val="00B67264"/>
    <w:rsid w:val="00B67A70"/>
    <w:rsid w:val="00B7133F"/>
    <w:rsid w:val="00B714D6"/>
    <w:rsid w:val="00B779F3"/>
    <w:rsid w:val="00B809C1"/>
    <w:rsid w:val="00B8328C"/>
    <w:rsid w:val="00B845B0"/>
    <w:rsid w:val="00B85FED"/>
    <w:rsid w:val="00B86AC7"/>
    <w:rsid w:val="00B87A1A"/>
    <w:rsid w:val="00B87D91"/>
    <w:rsid w:val="00B92759"/>
    <w:rsid w:val="00B953D4"/>
    <w:rsid w:val="00B95A59"/>
    <w:rsid w:val="00B97055"/>
    <w:rsid w:val="00BA0405"/>
    <w:rsid w:val="00BA22C2"/>
    <w:rsid w:val="00BA2A6C"/>
    <w:rsid w:val="00BA33F7"/>
    <w:rsid w:val="00BA3B42"/>
    <w:rsid w:val="00BA578D"/>
    <w:rsid w:val="00BA71CA"/>
    <w:rsid w:val="00BA7FD6"/>
    <w:rsid w:val="00BB0FA0"/>
    <w:rsid w:val="00BB4A75"/>
    <w:rsid w:val="00BB7255"/>
    <w:rsid w:val="00BB737C"/>
    <w:rsid w:val="00BB7F10"/>
    <w:rsid w:val="00BC04AE"/>
    <w:rsid w:val="00BC0561"/>
    <w:rsid w:val="00BC1E2E"/>
    <w:rsid w:val="00BC2B06"/>
    <w:rsid w:val="00BC5472"/>
    <w:rsid w:val="00BC5A9D"/>
    <w:rsid w:val="00BC68C2"/>
    <w:rsid w:val="00BC6CF1"/>
    <w:rsid w:val="00BC6E5A"/>
    <w:rsid w:val="00BC7B98"/>
    <w:rsid w:val="00BD000C"/>
    <w:rsid w:val="00BD08FF"/>
    <w:rsid w:val="00BD40C7"/>
    <w:rsid w:val="00BD5C8B"/>
    <w:rsid w:val="00BD6961"/>
    <w:rsid w:val="00BE120D"/>
    <w:rsid w:val="00BE2DBD"/>
    <w:rsid w:val="00BE37C4"/>
    <w:rsid w:val="00BE4782"/>
    <w:rsid w:val="00BE4E43"/>
    <w:rsid w:val="00BE5747"/>
    <w:rsid w:val="00BE5893"/>
    <w:rsid w:val="00BF11D0"/>
    <w:rsid w:val="00BF13AE"/>
    <w:rsid w:val="00BF4A31"/>
    <w:rsid w:val="00BF6301"/>
    <w:rsid w:val="00BF7FD8"/>
    <w:rsid w:val="00C0006D"/>
    <w:rsid w:val="00C003BB"/>
    <w:rsid w:val="00C0189A"/>
    <w:rsid w:val="00C038F9"/>
    <w:rsid w:val="00C0622B"/>
    <w:rsid w:val="00C12A95"/>
    <w:rsid w:val="00C12B8C"/>
    <w:rsid w:val="00C14B0D"/>
    <w:rsid w:val="00C20CA5"/>
    <w:rsid w:val="00C239C3"/>
    <w:rsid w:val="00C24C1A"/>
    <w:rsid w:val="00C266A3"/>
    <w:rsid w:val="00C273AE"/>
    <w:rsid w:val="00C27917"/>
    <w:rsid w:val="00C345DE"/>
    <w:rsid w:val="00C3528F"/>
    <w:rsid w:val="00C379D9"/>
    <w:rsid w:val="00C42096"/>
    <w:rsid w:val="00C45A32"/>
    <w:rsid w:val="00C45D4F"/>
    <w:rsid w:val="00C504A9"/>
    <w:rsid w:val="00C61468"/>
    <w:rsid w:val="00C664A2"/>
    <w:rsid w:val="00C66FCE"/>
    <w:rsid w:val="00C673F4"/>
    <w:rsid w:val="00C71B4A"/>
    <w:rsid w:val="00C72C46"/>
    <w:rsid w:val="00C72DC2"/>
    <w:rsid w:val="00C72DC5"/>
    <w:rsid w:val="00C7324A"/>
    <w:rsid w:val="00C73FBD"/>
    <w:rsid w:val="00C7405F"/>
    <w:rsid w:val="00C75B82"/>
    <w:rsid w:val="00C75CA0"/>
    <w:rsid w:val="00C761F3"/>
    <w:rsid w:val="00C76F73"/>
    <w:rsid w:val="00C8005B"/>
    <w:rsid w:val="00C80AA7"/>
    <w:rsid w:val="00C82957"/>
    <w:rsid w:val="00C82A9A"/>
    <w:rsid w:val="00C83E91"/>
    <w:rsid w:val="00C90141"/>
    <w:rsid w:val="00C909CB"/>
    <w:rsid w:val="00C91911"/>
    <w:rsid w:val="00C92219"/>
    <w:rsid w:val="00C92B28"/>
    <w:rsid w:val="00C93F2A"/>
    <w:rsid w:val="00C95586"/>
    <w:rsid w:val="00CA1546"/>
    <w:rsid w:val="00CA23BD"/>
    <w:rsid w:val="00CA35FB"/>
    <w:rsid w:val="00CA3E4E"/>
    <w:rsid w:val="00CA4284"/>
    <w:rsid w:val="00CA42A5"/>
    <w:rsid w:val="00CA5E2B"/>
    <w:rsid w:val="00CA60E1"/>
    <w:rsid w:val="00CA7287"/>
    <w:rsid w:val="00CA7291"/>
    <w:rsid w:val="00CA7390"/>
    <w:rsid w:val="00CA74D7"/>
    <w:rsid w:val="00CA77E5"/>
    <w:rsid w:val="00CA7C7B"/>
    <w:rsid w:val="00CB1BFC"/>
    <w:rsid w:val="00CB1F98"/>
    <w:rsid w:val="00CB3D82"/>
    <w:rsid w:val="00CB4519"/>
    <w:rsid w:val="00CB48BE"/>
    <w:rsid w:val="00CB4DDA"/>
    <w:rsid w:val="00CB50F5"/>
    <w:rsid w:val="00CB699D"/>
    <w:rsid w:val="00CB7840"/>
    <w:rsid w:val="00CC0C2C"/>
    <w:rsid w:val="00CC31A9"/>
    <w:rsid w:val="00CC3AB0"/>
    <w:rsid w:val="00CD014A"/>
    <w:rsid w:val="00CD51B2"/>
    <w:rsid w:val="00CD65CB"/>
    <w:rsid w:val="00CD7091"/>
    <w:rsid w:val="00CD7380"/>
    <w:rsid w:val="00CD73B3"/>
    <w:rsid w:val="00CE0ED2"/>
    <w:rsid w:val="00CE1195"/>
    <w:rsid w:val="00CE1CEF"/>
    <w:rsid w:val="00CE237D"/>
    <w:rsid w:val="00CE2589"/>
    <w:rsid w:val="00CE4062"/>
    <w:rsid w:val="00CE56FA"/>
    <w:rsid w:val="00CE5CBC"/>
    <w:rsid w:val="00CF0FBB"/>
    <w:rsid w:val="00CF3FE9"/>
    <w:rsid w:val="00CF50BB"/>
    <w:rsid w:val="00CF5617"/>
    <w:rsid w:val="00CF6842"/>
    <w:rsid w:val="00CF7679"/>
    <w:rsid w:val="00D0023C"/>
    <w:rsid w:val="00D00D81"/>
    <w:rsid w:val="00D0115C"/>
    <w:rsid w:val="00D03B81"/>
    <w:rsid w:val="00D040E3"/>
    <w:rsid w:val="00D047A5"/>
    <w:rsid w:val="00D06B31"/>
    <w:rsid w:val="00D06EFB"/>
    <w:rsid w:val="00D072D5"/>
    <w:rsid w:val="00D07D4F"/>
    <w:rsid w:val="00D12677"/>
    <w:rsid w:val="00D13B6E"/>
    <w:rsid w:val="00D15E68"/>
    <w:rsid w:val="00D17704"/>
    <w:rsid w:val="00D21080"/>
    <w:rsid w:val="00D23C59"/>
    <w:rsid w:val="00D24411"/>
    <w:rsid w:val="00D310F1"/>
    <w:rsid w:val="00D315B0"/>
    <w:rsid w:val="00D3200C"/>
    <w:rsid w:val="00D33E9B"/>
    <w:rsid w:val="00D367D0"/>
    <w:rsid w:val="00D37AFB"/>
    <w:rsid w:val="00D42C93"/>
    <w:rsid w:val="00D436DD"/>
    <w:rsid w:val="00D43C07"/>
    <w:rsid w:val="00D5000C"/>
    <w:rsid w:val="00D50080"/>
    <w:rsid w:val="00D52246"/>
    <w:rsid w:val="00D52743"/>
    <w:rsid w:val="00D53CC1"/>
    <w:rsid w:val="00D54835"/>
    <w:rsid w:val="00D55758"/>
    <w:rsid w:val="00D5765C"/>
    <w:rsid w:val="00D577A3"/>
    <w:rsid w:val="00D60272"/>
    <w:rsid w:val="00D61A95"/>
    <w:rsid w:val="00D6349E"/>
    <w:rsid w:val="00D6379A"/>
    <w:rsid w:val="00D64002"/>
    <w:rsid w:val="00D65EB2"/>
    <w:rsid w:val="00D66067"/>
    <w:rsid w:val="00D6677D"/>
    <w:rsid w:val="00D66E10"/>
    <w:rsid w:val="00D70889"/>
    <w:rsid w:val="00D72271"/>
    <w:rsid w:val="00D735FD"/>
    <w:rsid w:val="00D74324"/>
    <w:rsid w:val="00D750A0"/>
    <w:rsid w:val="00D76DE7"/>
    <w:rsid w:val="00D804DD"/>
    <w:rsid w:val="00D80FF2"/>
    <w:rsid w:val="00D8258F"/>
    <w:rsid w:val="00D82A01"/>
    <w:rsid w:val="00D91445"/>
    <w:rsid w:val="00D923C4"/>
    <w:rsid w:val="00D9401D"/>
    <w:rsid w:val="00D96444"/>
    <w:rsid w:val="00D97239"/>
    <w:rsid w:val="00DA0100"/>
    <w:rsid w:val="00DA034A"/>
    <w:rsid w:val="00DA0F3E"/>
    <w:rsid w:val="00DA132B"/>
    <w:rsid w:val="00DA2875"/>
    <w:rsid w:val="00DA2886"/>
    <w:rsid w:val="00DA384A"/>
    <w:rsid w:val="00DA3B21"/>
    <w:rsid w:val="00DA6A41"/>
    <w:rsid w:val="00DB1501"/>
    <w:rsid w:val="00DB1B4E"/>
    <w:rsid w:val="00DB41C6"/>
    <w:rsid w:val="00DB5F87"/>
    <w:rsid w:val="00DC0A80"/>
    <w:rsid w:val="00DC3518"/>
    <w:rsid w:val="00DC4236"/>
    <w:rsid w:val="00DC6B0B"/>
    <w:rsid w:val="00DC7290"/>
    <w:rsid w:val="00DD0AD9"/>
    <w:rsid w:val="00DD1693"/>
    <w:rsid w:val="00DD1A69"/>
    <w:rsid w:val="00DD3157"/>
    <w:rsid w:val="00DD3752"/>
    <w:rsid w:val="00DD44C5"/>
    <w:rsid w:val="00DD7857"/>
    <w:rsid w:val="00DD7CFD"/>
    <w:rsid w:val="00DE0443"/>
    <w:rsid w:val="00DE20E2"/>
    <w:rsid w:val="00DE33D2"/>
    <w:rsid w:val="00DE7D71"/>
    <w:rsid w:val="00DF5FD5"/>
    <w:rsid w:val="00DF6EAD"/>
    <w:rsid w:val="00DF723B"/>
    <w:rsid w:val="00E01292"/>
    <w:rsid w:val="00E01B2B"/>
    <w:rsid w:val="00E0215E"/>
    <w:rsid w:val="00E027DC"/>
    <w:rsid w:val="00E03602"/>
    <w:rsid w:val="00E06245"/>
    <w:rsid w:val="00E06FAE"/>
    <w:rsid w:val="00E113AB"/>
    <w:rsid w:val="00E12E23"/>
    <w:rsid w:val="00E13B5B"/>
    <w:rsid w:val="00E145D8"/>
    <w:rsid w:val="00E14A90"/>
    <w:rsid w:val="00E151A6"/>
    <w:rsid w:val="00E1674D"/>
    <w:rsid w:val="00E2164B"/>
    <w:rsid w:val="00E21ABB"/>
    <w:rsid w:val="00E227C4"/>
    <w:rsid w:val="00E229AF"/>
    <w:rsid w:val="00E27D74"/>
    <w:rsid w:val="00E27F5F"/>
    <w:rsid w:val="00E320FB"/>
    <w:rsid w:val="00E346D2"/>
    <w:rsid w:val="00E3745B"/>
    <w:rsid w:val="00E37535"/>
    <w:rsid w:val="00E41AAF"/>
    <w:rsid w:val="00E42807"/>
    <w:rsid w:val="00E42C88"/>
    <w:rsid w:val="00E42D8E"/>
    <w:rsid w:val="00E4616E"/>
    <w:rsid w:val="00E47A90"/>
    <w:rsid w:val="00E5032D"/>
    <w:rsid w:val="00E542C0"/>
    <w:rsid w:val="00E60F11"/>
    <w:rsid w:val="00E625A0"/>
    <w:rsid w:val="00E6679D"/>
    <w:rsid w:val="00E6730A"/>
    <w:rsid w:val="00E67FAB"/>
    <w:rsid w:val="00E7023F"/>
    <w:rsid w:val="00E72B09"/>
    <w:rsid w:val="00E73AFD"/>
    <w:rsid w:val="00E74441"/>
    <w:rsid w:val="00E74ADF"/>
    <w:rsid w:val="00E8078A"/>
    <w:rsid w:val="00E81A1F"/>
    <w:rsid w:val="00E85479"/>
    <w:rsid w:val="00E861EE"/>
    <w:rsid w:val="00E862CC"/>
    <w:rsid w:val="00E90D74"/>
    <w:rsid w:val="00E9210C"/>
    <w:rsid w:val="00E92AA8"/>
    <w:rsid w:val="00E93F5D"/>
    <w:rsid w:val="00E953DF"/>
    <w:rsid w:val="00E97092"/>
    <w:rsid w:val="00E971E9"/>
    <w:rsid w:val="00EA10A5"/>
    <w:rsid w:val="00EA27F9"/>
    <w:rsid w:val="00EA2D24"/>
    <w:rsid w:val="00EA3FD9"/>
    <w:rsid w:val="00EB0734"/>
    <w:rsid w:val="00EB1FA5"/>
    <w:rsid w:val="00EB2603"/>
    <w:rsid w:val="00EB43C0"/>
    <w:rsid w:val="00EB4D35"/>
    <w:rsid w:val="00EB630E"/>
    <w:rsid w:val="00EB769E"/>
    <w:rsid w:val="00EB7E17"/>
    <w:rsid w:val="00EC1F8E"/>
    <w:rsid w:val="00EC22F3"/>
    <w:rsid w:val="00EC2D60"/>
    <w:rsid w:val="00EC51E7"/>
    <w:rsid w:val="00EC646E"/>
    <w:rsid w:val="00ED05A7"/>
    <w:rsid w:val="00ED0B6D"/>
    <w:rsid w:val="00ED0EF0"/>
    <w:rsid w:val="00ED2DEF"/>
    <w:rsid w:val="00ED2EA6"/>
    <w:rsid w:val="00ED32A9"/>
    <w:rsid w:val="00ED3575"/>
    <w:rsid w:val="00ED4A40"/>
    <w:rsid w:val="00ED5445"/>
    <w:rsid w:val="00ED7473"/>
    <w:rsid w:val="00EE0F94"/>
    <w:rsid w:val="00EE2C5D"/>
    <w:rsid w:val="00EE3206"/>
    <w:rsid w:val="00EE59E6"/>
    <w:rsid w:val="00EE6B71"/>
    <w:rsid w:val="00EE75BC"/>
    <w:rsid w:val="00EE7726"/>
    <w:rsid w:val="00EF0713"/>
    <w:rsid w:val="00EF186A"/>
    <w:rsid w:val="00EF2EA7"/>
    <w:rsid w:val="00EF3F7D"/>
    <w:rsid w:val="00EF4A31"/>
    <w:rsid w:val="00F00B9E"/>
    <w:rsid w:val="00F00DA9"/>
    <w:rsid w:val="00F030A5"/>
    <w:rsid w:val="00F045F3"/>
    <w:rsid w:val="00F056EB"/>
    <w:rsid w:val="00F138D3"/>
    <w:rsid w:val="00F149A6"/>
    <w:rsid w:val="00F14DAA"/>
    <w:rsid w:val="00F14ED9"/>
    <w:rsid w:val="00F17185"/>
    <w:rsid w:val="00F17343"/>
    <w:rsid w:val="00F17412"/>
    <w:rsid w:val="00F20848"/>
    <w:rsid w:val="00F20B35"/>
    <w:rsid w:val="00F20B76"/>
    <w:rsid w:val="00F22D7C"/>
    <w:rsid w:val="00F25232"/>
    <w:rsid w:val="00F31963"/>
    <w:rsid w:val="00F31E50"/>
    <w:rsid w:val="00F33836"/>
    <w:rsid w:val="00F345E6"/>
    <w:rsid w:val="00F352B1"/>
    <w:rsid w:val="00F35839"/>
    <w:rsid w:val="00F41240"/>
    <w:rsid w:val="00F42250"/>
    <w:rsid w:val="00F426CD"/>
    <w:rsid w:val="00F42B8B"/>
    <w:rsid w:val="00F432B8"/>
    <w:rsid w:val="00F44D06"/>
    <w:rsid w:val="00F44F25"/>
    <w:rsid w:val="00F46A74"/>
    <w:rsid w:val="00F46DD4"/>
    <w:rsid w:val="00F46DEA"/>
    <w:rsid w:val="00F5174D"/>
    <w:rsid w:val="00F5176B"/>
    <w:rsid w:val="00F517D5"/>
    <w:rsid w:val="00F51F37"/>
    <w:rsid w:val="00F6093A"/>
    <w:rsid w:val="00F61C1F"/>
    <w:rsid w:val="00F622A4"/>
    <w:rsid w:val="00F62670"/>
    <w:rsid w:val="00F62FC9"/>
    <w:rsid w:val="00F63F5B"/>
    <w:rsid w:val="00F66625"/>
    <w:rsid w:val="00F67FA8"/>
    <w:rsid w:val="00F70D9B"/>
    <w:rsid w:val="00F74D33"/>
    <w:rsid w:val="00F7675F"/>
    <w:rsid w:val="00F768D3"/>
    <w:rsid w:val="00F76F1A"/>
    <w:rsid w:val="00F8353E"/>
    <w:rsid w:val="00F86237"/>
    <w:rsid w:val="00F879E2"/>
    <w:rsid w:val="00F87D02"/>
    <w:rsid w:val="00F9085B"/>
    <w:rsid w:val="00F90CBD"/>
    <w:rsid w:val="00F90F47"/>
    <w:rsid w:val="00F927EB"/>
    <w:rsid w:val="00F92EE8"/>
    <w:rsid w:val="00F948DA"/>
    <w:rsid w:val="00F94980"/>
    <w:rsid w:val="00F954D3"/>
    <w:rsid w:val="00FA24B5"/>
    <w:rsid w:val="00FA5B32"/>
    <w:rsid w:val="00FA6AB8"/>
    <w:rsid w:val="00FA7D23"/>
    <w:rsid w:val="00FB3202"/>
    <w:rsid w:val="00FB3F08"/>
    <w:rsid w:val="00FB4D9B"/>
    <w:rsid w:val="00FB57F6"/>
    <w:rsid w:val="00FC05D3"/>
    <w:rsid w:val="00FC0C91"/>
    <w:rsid w:val="00FC2A29"/>
    <w:rsid w:val="00FC3DD0"/>
    <w:rsid w:val="00FC3FF0"/>
    <w:rsid w:val="00FC5028"/>
    <w:rsid w:val="00FC5320"/>
    <w:rsid w:val="00FD12EF"/>
    <w:rsid w:val="00FD1318"/>
    <w:rsid w:val="00FD1CA6"/>
    <w:rsid w:val="00FD5788"/>
    <w:rsid w:val="00FD7173"/>
    <w:rsid w:val="00FE083C"/>
    <w:rsid w:val="00FE13F9"/>
    <w:rsid w:val="00FE248F"/>
    <w:rsid w:val="00FE40F6"/>
    <w:rsid w:val="00FE4C73"/>
    <w:rsid w:val="00FE52D5"/>
    <w:rsid w:val="00FE55BB"/>
    <w:rsid w:val="00FE5F1B"/>
    <w:rsid w:val="00FE7798"/>
    <w:rsid w:val="00FE7CD6"/>
    <w:rsid w:val="00FF22E8"/>
    <w:rsid w:val="00FF24D6"/>
    <w:rsid w:val="00FF2AAA"/>
    <w:rsid w:val="00FF2C1D"/>
    <w:rsid w:val="00FF40D4"/>
    <w:rsid w:val="00FF50E4"/>
    <w:rsid w:val="00FF511A"/>
    <w:rsid w:val="00FF7FCD"/>
    <w:rsid w:val="0183217F"/>
    <w:rsid w:val="047359CA"/>
    <w:rsid w:val="04AB60EF"/>
    <w:rsid w:val="076D7821"/>
    <w:rsid w:val="08B1523A"/>
    <w:rsid w:val="10C13D98"/>
    <w:rsid w:val="12380A2C"/>
    <w:rsid w:val="13C5498D"/>
    <w:rsid w:val="22774680"/>
    <w:rsid w:val="32D26391"/>
    <w:rsid w:val="3D8A7676"/>
    <w:rsid w:val="41A64A5C"/>
    <w:rsid w:val="45E12C3F"/>
    <w:rsid w:val="6C0A123E"/>
    <w:rsid w:val="787D5CFD"/>
    <w:rsid w:val="79916503"/>
    <w:rsid w:val="7A71441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0"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36"/>
    <w:qFormat/>
    <w:uiPriority w:val="9"/>
    <w:pPr>
      <w:keepNext/>
      <w:keepLines/>
      <w:spacing w:before="100" w:beforeAutospacing="1" w:after="100" w:afterAutospacing="1" w:line="460" w:lineRule="exact"/>
      <w:outlineLvl w:val="0"/>
    </w:pPr>
    <w:rPr>
      <w:rFonts w:eastAsia="仿宋"/>
      <w:b/>
      <w:bCs/>
      <w:kern w:val="44"/>
      <w:sz w:val="24"/>
      <w:szCs w:val="44"/>
    </w:rPr>
  </w:style>
  <w:style w:type="paragraph" w:styleId="3">
    <w:name w:val="heading 2"/>
    <w:basedOn w:val="1"/>
    <w:next w:val="1"/>
    <w:link w:val="38"/>
    <w:unhideWhenUsed/>
    <w:qFormat/>
    <w:uiPriority w:val="9"/>
    <w:pPr>
      <w:keepNext/>
      <w:keepLines/>
      <w:spacing w:before="100" w:beforeAutospacing="1" w:after="100" w:afterAutospacing="1" w:line="460" w:lineRule="exact"/>
      <w:outlineLvl w:val="1"/>
    </w:pPr>
    <w:rPr>
      <w:rFonts w:eastAsia="仿宋" w:asciiTheme="majorHAnsi" w:hAnsiTheme="majorHAnsi" w:cstheme="majorBidi"/>
      <w:b/>
      <w:bCs/>
      <w:sz w:val="24"/>
      <w:szCs w:val="32"/>
    </w:rPr>
  </w:style>
  <w:style w:type="paragraph" w:styleId="4">
    <w:name w:val="heading 4"/>
    <w:basedOn w:val="1"/>
    <w:next w:val="1"/>
    <w:semiHidden/>
    <w:unhideWhenUsed/>
    <w:qFormat/>
    <w:uiPriority w:val="9"/>
    <w:pPr>
      <w:spacing w:beforeAutospacing="1" w:afterAutospacing="1"/>
      <w:jc w:val="left"/>
      <w:outlineLvl w:val="3"/>
    </w:pPr>
    <w:rPr>
      <w:rFonts w:hint="eastAsia" w:ascii="宋体" w:hAnsi="宋体" w:eastAsia="宋体" w:cs="Times New Roman"/>
      <w:b/>
      <w:bCs/>
      <w:kern w:val="0"/>
      <w:sz w:val="24"/>
      <w:szCs w:val="24"/>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5">
    <w:name w:val="Document Map"/>
    <w:basedOn w:val="1"/>
    <w:link w:val="39"/>
    <w:semiHidden/>
    <w:unhideWhenUsed/>
    <w:qFormat/>
    <w:uiPriority w:val="99"/>
    <w:rPr>
      <w:rFonts w:ascii="宋体" w:eastAsia="宋体"/>
      <w:sz w:val="18"/>
      <w:szCs w:val="18"/>
    </w:rPr>
  </w:style>
  <w:style w:type="paragraph" w:styleId="6">
    <w:name w:val="annotation text"/>
    <w:basedOn w:val="1"/>
    <w:link w:val="43"/>
    <w:semiHidden/>
    <w:unhideWhenUsed/>
    <w:qFormat/>
    <w:uiPriority w:val="99"/>
    <w:pPr>
      <w:jc w:val="left"/>
    </w:pPr>
  </w:style>
  <w:style w:type="paragraph" w:styleId="7">
    <w:name w:val="Date"/>
    <w:basedOn w:val="1"/>
    <w:next w:val="1"/>
    <w:link w:val="40"/>
    <w:semiHidden/>
    <w:unhideWhenUsed/>
    <w:qFormat/>
    <w:uiPriority w:val="99"/>
    <w:pPr>
      <w:ind w:left="100" w:leftChars="2500"/>
    </w:pPr>
  </w:style>
  <w:style w:type="paragraph" w:styleId="8">
    <w:name w:val="Balloon Text"/>
    <w:basedOn w:val="1"/>
    <w:link w:val="35"/>
    <w:semiHidden/>
    <w:unhideWhenUsed/>
    <w:qFormat/>
    <w:uiPriority w:val="99"/>
    <w:rPr>
      <w:sz w:val="18"/>
      <w:szCs w:val="18"/>
    </w:rPr>
  </w:style>
  <w:style w:type="paragraph" w:styleId="9">
    <w:name w:val="footer"/>
    <w:basedOn w:val="1"/>
    <w:link w:val="22"/>
    <w:unhideWhenUsed/>
    <w:qFormat/>
    <w:uiPriority w:val="99"/>
    <w:pPr>
      <w:tabs>
        <w:tab w:val="center" w:pos="4153"/>
        <w:tab w:val="right" w:pos="8306"/>
      </w:tabs>
      <w:snapToGrid w:val="0"/>
      <w:jc w:val="left"/>
    </w:pPr>
    <w:rPr>
      <w:sz w:val="18"/>
      <w:szCs w:val="18"/>
    </w:rPr>
  </w:style>
  <w:style w:type="paragraph" w:styleId="10">
    <w:name w:val="header"/>
    <w:basedOn w:val="1"/>
    <w:link w:val="21"/>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unhideWhenUsed/>
    <w:qFormat/>
    <w:uiPriority w:val="39"/>
  </w:style>
  <w:style w:type="paragraph" w:styleId="12">
    <w:name w:val="toc 2"/>
    <w:basedOn w:val="1"/>
    <w:next w:val="1"/>
    <w:unhideWhenUsed/>
    <w:qFormat/>
    <w:uiPriority w:val="39"/>
    <w:pPr>
      <w:ind w:left="420" w:leftChars="200"/>
    </w:pPr>
  </w:style>
  <w:style w:type="paragraph" w:styleId="13">
    <w:name w:val="Normal (Web)"/>
    <w:basedOn w:val="1"/>
    <w:qFormat/>
    <w:uiPriority w:val="99"/>
    <w:pPr>
      <w:spacing w:before="100" w:beforeAutospacing="1" w:after="100" w:afterAutospacing="1"/>
      <w:jc w:val="left"/>
    </w:pPr>
    <w:rPr>
      <w:rFonts w:cs="Times New Roman"/>
      <w:kern w:val="0"/>
      <w:sz w:val="24"/>
      <w:szCs w:val="24"/>
    </w:rPr>
  </w:style>
  <w:style w:type="paragraph" w:styleId="14">
    <w:name w:val="annotation subject"/>
    <w:basedOn w:val="6"/>
    <w:next w:val="6"/>
    <w:link w:val="44"/>
    <w:semiHidden/>
    <w:unhideWhenUsed/>
    <w:qFormat/>
    <w:uiPriority w:val="99"/>
    <w:rPr>
      <w:b/>
      <w:bCs/>
    </w:rPr>
  </w:style>
  <w:style w:type="table" w:styleId="16">
    <w:name w:val="Table Grid"/>
    <w:basedOn w:val="15"/>
    <w:unhideWhenUsed/>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Strong"/>
    <w:basedOn w:val="17"/>
    <w:qFormat/>
    <w:uiPriority w:val="0"/>
    <w:rPr>
      <w:b/>
    </w:rPr>
  </w:style>
  <w:style w:type="character" w:styleId="19">
    <w:name w:val="Hyperlink"/>
    <w:basedOn w:val="17"/>
    <w:unhideWhenUsed/>
    <w:qFormat/>
    <w:uiPriority w:val="99"/>
    <w:rPr>
      <w:color w:val="0000FF" w:themeColor="hyperlink"/>
      <w:u w:val="single"/>
      <w14:textFill>
        <w14:solidFill>
          <w14:schemeClr w14:val="hlink"/>
        </w14:solidFill>
      </w14:textFill>
    </w:rPr>
  </w:style>
  <w:style w:type="character" w:styleId="20">
    <w:name w:val="annotation reference"/>
    <w:basedOn w:val="17"/>
    <w:semiHidden/>
    <w:unhideWhenUsed/>
    <w:qFormat/>
    <w:uiPriority w:val="99"/>
    <w:rPr>
      <w:sz w:val="21"/>
      <w:szCs w:val="21"/>
    </w:rPr>
  </w:style>
  <w:style w:type="character" w:customStyle="1" w:styleId="21">
    <w:name w:val="页眉 Char"/>
    <w:basedOn w:val="17"/>
    <w:link w:val="10"/>
    <w:qFormat/>
    <w:uiPriority w:val="99"/>
    <w:rPr>
      <w:sz w:val="18"/>
      <w:szCs w:val="18"/>
    </w:rPr>
  </w:style>
  <w:style w:type="character" w:customStyle="1" w:styleId="22">
    <w:name w:val="页脚 Char"/>
    <w:basedOn w:val="17"/>
    <w:link w:val="9"/>
    <w:qFormat/>
    <w:uiPriority w:val="99"/>
    <w:rPr>
      <w:sz w:val="18"/>
      <w:szCs w:val="18"/>
    </w:rPr>
  </w:style>
  <w:style w:type="paragraph" w:styleId="23">
    <w:name w:val="List Paragraph"/>
    <w:basedOn w:val="1"/>
    <w:qFormat/>
    <w:uiPriority w:val="34"/>
    <w:pPr>
      <w:ind w:firstLine="420" w:firstLineChars="200"/>
    </w:pPr>
  </w:style>
  <w:style w:type="paragraph" w:customStyle="1" w:styleId="24">
    <w:name w:val="段"/>
    <w:link w:val="25"/>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25">
    <w:name w:val="段 Char"/>
    <w:basedOn w:val="17"/>
    <w:link w:val="24"/>
    <w:qFormat/>
    <w:uiPriority w:val="0"/>
    <w:rPr>
      <w:rFonts w:ascii="宋体" w:hAnsi="Times New Roman" w:eastAsia="宋体" w:cs="Times New Roman"/>
      <w:kern w:val="0"/>
      <w:szCs w:val="20"/>
    </w:rPr>
  </w:style>
  <w:style w:type="paragraph" w:customStyle="1" w:styleId="26">
    <w:name w:val="一级条标题"/>
    <w:next w:val="24"/>
    <w:qFormat/>
    <w:uiPriority w:val="0"/>
    <w:pPr>
      <w:numPr>
        <w:ilvl w:val="1"/>
        <w:numId w:val="1"/>
      </w:numPr>
      <w:spacing w:beforeLines="50" w:afterLines="50"/>
      <w:ind w:left="0"/>
      <w:outlineLvl w:val="2"/>
    </w:pPr>
    <w:rPr>
      <w:rFonts w:ascii="黑体" w:hAnsi="Times New Roman" w:eastAsia="黑体" w:cs="Times New Roman"/>
      <w:sz w:val="21"/>
      <w:szCs w:val="21"/>
      <w:lang w:val="en-US" w:eastAsia="zh-CN" w:bidi="ar-SA"/>
    </w:rPr>
  </w:style>
  <w:style w:type="paragraph" w:customStyle="1" w:styleId="27">
    <w:name w:val="章标题"/>
    <w:next w:val="24"/>
    <w:qFormat/>
    <w:uiPriority w:val="0"/>
    <w:pPr>
      <w:numPr>
        <w:ilvl w:val="0"/>
        <w:numId w:val="1"/>
      </w:numPr>
      <w:spacing w:beforeLines="100" w:afterLines="100"/>
      <w:jc w:val="both"/>
      <w:outlineLvl w:val="1"/>
    </w:pPr>
    <w:rPr>
      <w:rFonts w:ascii="黑体" w:hAnsi="Times New Roman" w:eastAsia="黑体" w:cs="Times New Roman"/>
      <w:sz w:val="21"/>
      <w:lang w:val="en-US" w:eastAsia="zh-CN" w:bidi="ar-SA"/>
    </w:rPr>
  </w:style>
  <w:style w:type="paragraph" w:customStyle="1" w:styleId="28">
    <w:name w:val="二级条标题"/>
    <w:basedOn w:val="26"/>
    <w:next w:val="24"/>
    <w:qFormat/>
    <w:uiPriority w:val="0"/>
    <w:pPr>
      <w:numPr>
        <w:ilvl w:val="2"/>
      </w:numPr>
      <w:spacing w:before="50" w:after="50"/>
      <w:outlineLvl w:val="3"/>
    </w:pPr>
  </w:style>
  <w:style w:type="paragraph" w:customStyle="1" w:styleId="29">
    <w:name w:val="三级条标题"/>
    <w:basedOn w:val="28"/>
    <w:next w:val="24"/>
    <w:qFormat/>
    <w:uiPriority w:val="0"/>
    <w:pPr>
      <w:numPr>
        <w:ilvl w:val="3"/>
      </w:numPr>
      <w:outlineLvl w:val="4"/>
    </w:pPr>
  </w:style>
  <w:style w:type="paragraph" w:customStyle="1" w:styleId="30">
    <w:name w:val="数字编号列项（二级）"/>
    <w:qFormat/>
    <w:uiPriority w:val="0"/>
    <w:pPr>
      <w:numPr>
        <w:ilvl w:val="1"/>
        <w:numId w:val="2"/>
      </w:numPr>
      <w:jc w:val="both"/>
    </w:pPr>
    <w:rPr>
      <w:rFonts w:ascii="宋体" w:hAnsi="Times New Roman" w:eastAsia="宋体" w:cs="Times New Roman"/>
      <w:sz w:val="21"/>
      <w:lang w:val="en-US" w:eastAsia="zh-CN" w:bidi="ar-SA"/>
    </w:rPr>
  </w:style>
  <w:style w:type="paragraph" w:customStyle="1" w:styleId="31">
    <w:name w:val="四级条标题"/>
    <w:basedOn w:val="29"/>
    <w:next w:val="24"/>
    <w:qFormat/>
    <w:uiPriority w:val="0"/>
    <w:pPr>
      <w:numPr>
        <w:ilvl w:val="4"/>
      </w:numPr>
      <w:outlineLvl w:val="5"/>
    </w:pPr>
  </w:style>
  <w:style w:type="paragraph" w:customStyle="1" w:styleId="32">
    <w:name w:val="五级条标题"/>
    <w:basedOn w:val="31"/>
    <w:next w:val="24"/>
    <w:qFormat/>
    <w:uiPriority w:val="0"/>
    <w:pPr>
      <w:numPr>
        <w:ilvl w:val="5"/>
      </w:numPr>
      <w:outlineLvl w:val="6"/>
    </w:pPr>
  </w:style>
  <w:style w:type="paragraph" w:customStyle="1" w:styleId="33">
    <w:name w:val="字母编号列项（一级）"/>
    <w:qFormat/>
    <w:uiPriority w:val="0"/>
    <w:pPr>
      <w:numPr>
        <w:ilvl w:val="0"/>
        <w:numId w:val="2"/>
      </w:numPr>
      <w:jc w:val="both"/>
    </w:pPr>
    <w:rPr>
      <w:rFonts w:ascii="宋体" w:hAnsi="Times New Roman" w:eastAsia="宋体" w:cs="Times New Roman"/>
      <w:sz w:val="21"/>
      <w:lang w:val="en-US" w:eastAsia="zh-CN" w:bidi="ar-SA"/>
    </w:rPr>
  </w:style>
  <w:style w:type="paragraph" w:customStyle="1" w:styleId="34">
    <w:name w:val="编号列项（三级）"/>
    <w:qFormat/>
    <w:uiPriority w:val="0"/>
    <w:pPr>
      <w:numPr>
        <w:ilvl w:val="2"/>
        <w:numId w:val="2"/>
      </w:numPr>
    </w:pPr>
    <w:rPr>
      <w:rFonts w:ascii="宋体" w:hAnsi="Times New Roman" w:eastAsia="宋体" w:cs="Times New Roman"/>
      <w:sz w:val="21"/>
      <w:lang w:val="en-US" w:eastAsia="zh-CN" w:bidi="ar-SA"/>
    </w:rPr>
  </w:style>
  <w:style w:type="character" w:customStyle="1" w:styleId="35">
    <w:name w:val="批注框文本 Char"/>
    <w:basedOn w:val="17"/>
    <w:link w:val="8"/>
    <w:semiHidden/>
    <w:qFormat/>
    <w:uiPriority w:val="99"/>
    <w:rPr>
      <w:sz w:val="18"/>
      <w:szCs w:val="18"/>
    </w:rPr>
  </w:style>
  <w:style w:type="character" w:customStyle="1" w:styleId="36">
    <w:name w:val="标题 1 Char"/>
    <w:basedOn w:val="17"/>
    <w:link w:val="2"/>
    <w:qFormat/>
    <w:uiPriority w:val="9"/>
    <w:rPr>
      <w:rFonts w:eastAsia="仿宋"/>
      <w:b/>
      <w:bCs/>
      <w:kern w:val="44"/>
      <w:sz w:val="24"/>
      <w:szCs w:val="44"/>
    </w:rPr>
  </w:style>
  <w:style w:type="paragraph" w:customStyle="1" w:styleId="37">
    <w:name w:val="TOC 标题1"/>
    <w:basedOn w:val="2"/>
    <w:next w:val="1"/>
    <w:unhideWhenUsed/>
    <w:qFormat/>
    <w:uiPriority w:val="39"/>
    <w:pPr>
      <w:widowControl/>
      <w:spacing w:before="480" w:after="0" w:line="276" w:lineRule="auto"/>
      <w:jc w:val="left"/>
      <w:outlineLvl w:val="9"/>
    </w:pPr>
    <w:rPr>
      <w:rFonts w:asciiTheme="majorHAnsi" w:hAnsiTheme="majorHAnsi" w:eastAsiaTheme="majorEastAsia" w:cstheme="majorBidi"/>
      <w:color w:val="376092" w:themeColor="accent1" w:themeShade="BF"/>
      <w:kern w:val="0"/>
      <w:sz w:val="28"/>
      <w:szCs w:val="28"/>
    </w:rPr>
  </w:style>
  <w:style w:type="character" w:customStyle="1" w:styleId="38">
    <w:name w:val="标题 2 Char"/>
    <w:basedOn w:val="17"/>
    <w:link w:val="3"/>
    <w:qFormat/>
    <w:uiPriority w:val="9"/>
    <w:rPr>
      <w:rFonts w:eastAsia="仿宋" w:asciiTheme="majorHAnsi" w:hAnsiTheme="majorHAnsi" w:cstheme="majorBidi"/>
      <w:b/>
      <w:bCs/>
      <w:sz w:val="24"/>
      <w:szCs w:val="32"/>
    </w:rPr>
  </w:style>
  <w:style w:type="character" w:customStyle="1" w:styleId="39">
    <w:name w:val="文档结构图 Char"/>
    <w:basedOn w:val="17"/>
    <w:link w:val="5"/>
    <w:semiHidden/>
    <w:qFormat/>
    <w:uiPriority w:val="99"/>
    <w:rPr>
      <w:rFonts w:ascii="宋体" w:eastAsia="宋体"/>
      <w:sz w:val="18"/>
      <w:szCs w:val="18"/>
    </w:rPr>
  </w:style>
  <w:style w:type="character" w:customStyle="1" w:styleId="40">
    <w:name w:val="日期 Char"/>
    <w:basedOn w:val="17"/>
    <w:link w:val="7"/>
    <w:semiHidden/>
    <w:qFormat/>
    <w:uiPriority w:val="99"/>
  </w:style>
  <w:style w:type="paragraph" w:customStyle="1" w:styleId="41">
    <w:name w:val="标准文件_段"/>
    <w:link w:val="42"/>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42">
    <w:name w:val="标准文件_段 Char"/>
    <w:link w:val="41"/>
    <w:qFormat/>
    <w:uiPriority w:val="0"/>
    <w:rPr>
      <w:rFonts w:ascii="宋体" w:hAnsi="Times New Roman" w:eastAsia="宋体" w:cs="Times New Roman"/>
      <w:kern w:val="0"/>
      <w:szCs w:val="20"/>
    </w:rPr>
  </w:style>
  <w:style w:type="character" w:customStyle="1" w:styleId="43">
    <w:name w:val="批注文字 Char"/>
    <w:basedOn w:val="17"/>
    <w:link w:val="6"/>
    <w:semiHidden/>
    <w:qFormat/>
    <w:uiPriority w:val="99"/>
  </w:style>
  <w:style w:type="character" w:customStyle="1" w:styleId="44">
    <w:name w:val="批注主题 Char"/>
    <w:basedOn w:val="43"/>
    <w:link w:val="14"/>
    <w:semiHidden/>
    <w:qFormat/>
    <w:uiPriority w:val="99"/>
    <w:rPr>
      <w:b/>
      <w:bCs/>
    </w:rPr>
  </w:style>
  <w:style w:type="paragraph" w:customStyle="1" w:styleId="45">
    <w:name w:val="Default"/>
    <w:unhideWhenUsed/>
    <w:qFormat/>
    <w:uiPriority w:val="99"/>
    <w:pPr>
      <w:widowControl w:val="0"/>
      <w:autoSpaceDE w:val="0"/>
      <w:autoSpaceDN w:val="0"/>
      <w:adjustRightInd w:val="0"/>
    </w:pPr>
    <w:rPr>
      <w:rFonts w:hint="eastAsia" w:ascii="宋体" w:hAnsi="宋体" w:eastAsia="宋体" w:cs="Times New Roman"/>
      <w:color w:val="000000"/>
      <w:sz w:val="24"/>
      <w:szCs w:val="24"/>
      <w:lang w:val="en-US" w:eastAsia="zh-CN" w:bidi="ar-SA"/>
    </w:rPr>
  </w:style>
  <w:style w:type="paragraph" w:customStyle="1" w:styleId="46">
    <w:name w:val="Body text|1"/>
    <w:basedOn w:val="1"/>
    <w:qFormat/>
    <w:uiPriority w:val="0"/>
    <w:pPr>
      <w:widowControl w:val="0"/>
      <w:shd w:val="clear" w:color="auto" w:fill="auto"/>
      <w:spacing w:line="324" w:lineRule="auto"/>
      <w:ind w:firstLine="400"/>
    </w:pPr>
    <w:rPr>
      <w:rFonts w:ascii="宋体" w:hAnsi="宋体" w:eastAsia="宋体" w:cs="宋体"/>
      <w:sz w:val="20"/>
      <w:szCs w:val="20"/>
      <w:u w:val="none"/>
      <w:shd w:val="clear" w:color="auto" w:fill="auto"/>
      <w:lang w:val="zh-TW" w:eastAsia="zh-TW" w:bidi="zh-TW"/>
    </w:rPr>
  </w:style>
  <w:style w:type="paragraph" w:customStyle="1" w:styleId="47">
    <w:name w:val="默认段落字体 Para Char"/>
    <w:basedOn w:val="1"/>
    <w:qFormat/>
    <w:uiPriority w:val="99"/>
    <w:rPr>
      <w:szCs w:val="24"/>
    </w:rPr>
  </w:style>
</w:style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microsoft.com/office/2006/relationships/keyMapCustomizations" Target="customizations.xml"/><Relationship Id="rId12" Type="http://schemas.openxmlformats.org/officeDocument/2006/relationships/customXml" Target="../customXml/item2.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2FEFCD7-B3EF-4AFF-AEA4-FC0ACA6BE256}">
  <ds:schemaRefs/>
</ds:datastoreItem>
</file>

<file path=docProps/app.xml><?xml version="1.0" encoding="utf-8"?>
<Properties xmlns="http://schemas.openxmlformats.org/officeDocument/2006/extended-properties" xmlns:vt="http://schemas.openxmlformats.org/officeDocument/2006/docPropsVTypes">
  <Template>Normal.dotm</Template>
  <Company>信息管理部</Company>
  <Pages>18</Pages>
  <Words>7624</Words>
  <Characters>8177</Characters>
  <Lines>64</Lines>
  <Paragraphs>18</Paragraphs>
  <TotalTime>14</TotalTime>
  <ScaleCrop>false</ScaleCrop>
  <LinksUpToDate>false</LinksUpToDate>
  <CharactersWithSpaces>8293</CharactersWithSpaces>
  <Application>WPS Office_11.8.2.9022_F1E327BC-269C-435d-A152-05C5408002CA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2022-02-06T10:30:00Z</dcterms:created>
  <dc:creator>L</dc:creator>
  <cp:lastModifiedBy>Jason</cp:lastModifiedBy>
  <cp:lastPrinted>2021-03-09T01:00:00Z</cp:lastPrinted>
  <dcterms:modified xsi:type="dcterms:W3CDTF">2023-05-14T13:56:31Z</dcterms:modified>
  <cp:revision>119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2052-11.8.2.9022</vt:lpwstr>
  </property>
  <property fmtid="{D5CDD505-2E9C-101B-9397-08002B2CF9AE}" pid="3" name="ICV">
    <vt:lpwstr>4D177A02532C43CE99E99C7071A8AB63_13</vt:lpwstr>
  </property>
</Properties>
</file>