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attachedToolbars.bin" ContentType="application/vnd.ms-word.attachedToolbars"/>
  <Override PartName="/word/customizations.xml" ContentType="application/vnd.ms-word.keyMapCustomization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themeColor="background1"/>
  <w:body>
    <w:p>
      <w:pPr>
        <w:snapToGrid w:val="0"/>
        <w:spacing w:line="360" w:lineRule="auto"/>
        <w:jc w:val="center"/>
        <w:rPr>
          <w:rFonts w:ascii="宋体" w:hAnsi="宋体" w:eastAsia="宋体" w:cs="宋体"/>
          <w:b/>
          <w:bCs/>
          <w:sz w:val="36"/>
          <w:szCs w:val="36"/>
        </w:rPr>
      </w:pPr>
      <w:r>
        <w:rPr>
          <w:rFonts w:hint="eastAsia" w:ascii="宋体" w:hAnsi="宋体" w:eastAsia="宋体" w:cs="宋体"/>
          <w:b/>
          <w:bCs/>
          <w:sz w:val="36"/>
          <w:szCs w:val="36"/>
        </w:rPr>
        <w:t>《多功能智能杆  网络安全等级保护</w:t>
      </w:r>
      <w:r>
        <w:rPr>
          <w:rFonts w:hint="eastAsia" w:ascii="宋体" w:hAnsi="宋体" w:eastAsia="宋体" w:cs="宋体"/>
          <w:b/>
          <w:bCs/>
          <w:sz w:val="36"/>
          <w:szCs w:val="36"/>
          <w:lang w:eastAsia="zh-CN"/>
        </w:rPr>
        <w:t>规范</w:t>
      </w:r>
      <w:r>
        <w:rPr>
          <w:rFonts w:hint="eastAsia" w:ascii="宋体" w:hAnsi="宋体" w:eastAsia="宋体" w:cs="宋体"/>
          <w:b/>
          <w:bCs/>
          <w:sz w:val="36"/>
          <w:szCs w:val="36"/>
        </w:rPr>
        <w:t>》</w:t>
      </w:r>
    </w:p>
    <w:p>
      <w:pPr>
        <w:snapToGrid w:val="0"/>
        <w:spacing w:line="360" w:lineRule="auto"/>
        <w:jc w:val="center"/>
        <w:rPr>
          <w:rFonts w:ascii="仿宋" w:hAnsi="仿宋" w:eastAsia="仿宋" w:cs="Times New Roman"/>
          <w:sz w:val="36"/>
          <w:szCs w:val="36"/>
        </w:rPr>
      </w:pPr>
      <w:r>
        <w:rPr>
          <w:rFonts w:hint="eastAsia" w:ascii="宋体" w:hAnsi="宋体" w:eastAsia="宋体" w:cs="宋体"/>
          <w:b/>
          <w:bCs/>
          <w:sz w:val="36"/>
          <w:szCs w:val="36"/>
        </w:rPr>
        <w:t>编制说明</w:t>
      </w:r>
    </w:p>
    <w:p>
      <w:pPr>
        <w:pStyle w:val="2"/>
        <w:snapToGrid w:val="0"/>
        <w:spacing w:before="0" w:beforeAutospacing="0" w:after="0" w:afterAutospacing="0" w:line="360" w:lineRule="auto"/>
        <w:rPr>
          <w:rFonts w:ascii="仿宋" w:hAnsi="仿宋" w:cs="Times New Roman"/>
          <w:sz w:val="32"/>
          <w:szCs w:val="32"/>
        </w:rPr>
      </w:pPr>
      <w:bookmarkStart w:id="0" w:name="_Toc11416287"/>
      <w:r>
        <w:rPr>
          <w:rFonts w:ascii="仿宋" w:hAnsi="仿宋" w:cs="Times New Roman"/>
          <w:sz w:val="32"/>
          <w:szCs w:val="32"/>
        </w:rPr>
        <w:t>一、</w:t>
      </w:r>
      <w:bookmarkEnd w:id="0"/>
      <w:r>
        <w:rPr>
          <w:rFonts w:hint="eastAsia" w:ascii="仿宋" w:hAnsi="仿宋" w:cs="Times New Roman"/>
          <w:sz w:val="32"/>
          <w:szCs w:val="32"/>
        </w:rPr>
        <w:t>项目背景</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“让城市更聪明一些、更智慧一些，是推进城市治理体系和治理能力现代化的必由之路，前景广阔。”习近平总书记的讲话为未来城市的发展指明了道路和方向。</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智慧城市是在物联网、云计算、大数据等新一代信息技术快速发展背景下产生的城市发展新模式，通过“更加透彻的感知、更加深入的计算和更加广泛的连接”，改变着物与物之间、人与物之间的联系方式，改变着我们的生存环境，也深刻改变着人类的思维方式和生活模式。</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多功能智能杆作为新基建的重要组成和智慧城市建设的入口，也是未来承载5G基站布点的载体，它通过深度整合城市各类资源，实现资源的共享、集约和统筹，降低城市建设成本，提升城市运维效率，将为城市治理的快速发展带来多重效益。</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2018年深圳出台《深圳市多功能智能杆建设发展行动计划（2018—2020年）》，成为国内首个政府出台的顶层行动计划。</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2019年9月，《深圳市人民政府关于印发率先实现5G基础设施全覆盖及促进5G产业高质量发展若干措施的通知》印发，要求加快推进多功智能杆建设。</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2020年 4月国家发改委明确“新基建”范围主要包括：包含以 5G、物联网为代表的信息基础设施，以大数据、人工智能等技术深度应用的融合基础设施和以支撑科学研究、技术开发等的创新基础设施。随着我国物联网新型基础设施建设的全面推进，多功智能杆的产业发展步入快车道。</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2021年我国多功能智能杆建设的最大特点，是从北上广深延伸到了全国各地，2021年度共有28个省（自治区、直辖市）新增了多功能智能杆建设项目，新增项目总量达到350个，新增多功能智能杆拟建数量达到12.8万根。</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多功能智能杆包括杆体及其搭载的感知终端（各类设备和传感器），它是集智慧照明、视频监控、交通管理、环境监测、无线通信、应急求助等多功能于一体的信息基础设施。梳理和分析多功能智能杆系统之间的数据流通路径，将系统中不同设备、软件、数据、资源、分不同重要等级进行分等级保护显得尤为重要。</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近年来，数据安全形势不容乐观，世界各国均高度重视数据安全及隐私保护，例如美国发布了《国家安全和个人数据保护法 (草案)》、《网络安全信息共享法》等，欧盟发布了《一般数据保护法案》、德国发布了《联邦数据保护法》、 英国发布了《数据保护法》等；十九届四中全会，我国首次增列“数据”作为生产要素，数据安全与国家安全息息相关。我国国家数据安全相关法律法规有《中华人民共和国网络安全法》、《中华人民共和国数据安全法》及《中华人民共和国个人信息保护法》、《数据安全管理办法》征求意见稿等；国内数据安全标准有GB/T 35273-2020《信息安全技术 个人信息安全规范》、GB/T 37988-2019《信息安全技术 数据安全能力成熟度模型》等。</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2017年6月1日正式实行的《中华人民共和国网络安全法</w:t>
      </w:r>
      <w:r>
        <w:rPr>
          <w:rFonts w:hint="default" w:ascii="仿宋" w:hAnsi="仿宋" w:eastAsia="仿宋" w:cs="仿宋"/>
          <w:sz w:val="30"/>
          <w:szCs w:val="30"/>
          <w:lang w:val="en-US" w:eastAsia="zh-CN"/>
        </w:rPr>
        <w:t>》中第二十一条明确规定：国家实行网络安全等级保护制度。网络运营者应当按照网络安全等级保护制度的要求，履行下列安全保护义务，保障网络免受干扰、破坏或者未经授权的访问，防止网络数据泄露或者被窃取、篡改。</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信息安全保障能力是21世纪综合国力、经济竞争实力和生存能力的重要组成部分，是全世界各国奋力攀登的制高点。网络信息安全问题如果解决不好，将全方位地危及我国的政治、军事、经济、文化、社会生活的各个方面，使国家处于信息战和高度经济金融风险的威胁之中。</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习近平总书记高度重视信息网络安全工作，多次提出：没有网络安全就没有国家安全，没有信息化就没有现代化； 网络安全和信息化是一体之两翼、驱动之双轮，必须统一谋划、统一部署、统一推进。</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信息安全等级保护从与信息系统安全相关的物理层面、网络层面、系统层面、应用层面和管理层面 对信息和信息系统实施分等级安全保护。管理层面贯穿于其他层面之中，是其他层面实施分等级安全保护的保证。本标准对信息和信息系统的安全保护提出了分等级安全管理的要求，阐述了安全管理要素及其强度，并将管理要求落实到信息安全等级保护所规定的五个等级上，有利于对安全管理的实施、评估和检查。</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为适应深圳市多功智能杆发展的新形势，满足新形势下多功智能杆对标准化发展的新需求，规范多功能智能杆建设与管理全过程中的网络安全、通讯安全、数据安全，根据《中华人民共和国网络安全法</w:t>
      </w:r>
      <w:r>
        <w:rPr>
          <w:rFonts w:hint="default" w:ascii="仿宋" w:hAnsi="仿宋" w:eastAsia="仿宋" w:cs="仿宋"/>
          <w:sz w:val="30"/>
          <w:szCs w:val="30"/>
          <w:lang w:val="en-US" w:eastAsia="zh-CN"/>
        </w:rPr>
        <w:t>》</w:t>
      </w:r>
      <w:r>
        <w:rPr>
          <w:rFonts w:hint="eastAsia" w:ascii="仿宋" w:hAnsi="仿宋" w:eastAsia="仿宋" w:cs="仿宋"/>
          <w:sz w:val="30"/>
          <w:szCs w:val="30"/>
          <w:lang w:val="en-US" w:eastAsia="zh-CN"/>
        </w:rPr>
        <w:t>的基本原则，结合深圳经济特区地域特点，为多功能智能杆网络安全等级保护提供依据，防范对多功能智能杆网络的攻击、侵入、干扰、破坏和非法使用以及意外事故提出防范应对措施，提升多功能智能杆系统网络数据的完整性、保密性、可用性的能力，助力多功能智能杆产业高质量发展。编制地方标准《多功能智能杆 网络安全等级保护基本要求》十分必要。</w:t>
      </w:r>
    </w:p>
    <w:p>
      <w:pPr>
        <w:ind w:firstLine="480" w:firstLineChars="200"/>
        <w:rPr>
          <w:rFonts w:hint="eastAsia" w:ascii="仿宋_GB2312" w:hAnsi="Times New Roman" w:eastAsia="仿宋_GB2312" w:cs="Times New Roman"/>
          <w:sz w:val="24"/>
          <w:szCs w:val="24"/>
          <w:lang w:val="en-US" w:eastAsia="zh-CN"/>
        </w:rPr>
      </w:pPr>
    </w:p>
    <w:p>
      <w:pPr>
        <w:pStyle w:val="2"/>
        <w:snapToGrid w:val="0"/>
        <w:spacing w:before="0" w:beforeAutospacing="0" w:after="0" w:afterAutospacing="0" w:line="360" w:lineRule="auto"/>
        <w:rPr>
          <w:rFonts w:ascii="仿宋" w:hAnsi="仿宋" w:cs="Times New Roman"/>
          <w:sz w:val="32"/>
          <w:szCs w:val="32"/>
        </w:rPr>
      </w:pPr>
      <w:r>
        <w:rPr>
          <w:rFonts w:hint="eastAsia" w:ascii="仿宋" w:hAnsi="仿宋" w:cs="Times New Roman"/>
          <w:sz w:val="32"/>
          <w:szCs w:val="32"/>
        </w:rPr>
        <w:t>二</w:t>
      </w:r>
      <w:r>
        <w:rPr>
          <w:rFonts w:ascii="仿宋" w:hAnsi="仿宋" w:cs="Times New Roman"/>
          <w:sz w:val="32"/>
          <w:szCs w:val="32"/>
        </w:rPr>
        <w:t>、</w:t>
      </w:r>
      <w:r>
        <w:rPr>
          <w:rFonts w:hint="eastAsia" w:ascii="仿宋" w:hAnsi="仿宋" w:cs="Times New Roman"/>
          <w:sz w:val="32"/>
          <w:szCs w:val="32"/>
        </w:rPr>
        <w:t>工作简况</w:t>
      </w:r>
    </w:p>
    <w:p>
      <w:pPr>
        <w:pStyle w:val="3"/>
        <w:snapToGrid w:val="0"/>
        <w:spacing w:before="0" w:beforeAutospacing="0" w:after="0" w:afterAutospacing="0" w:line="360" w:lineRule="auto"/>
        <w:ind w:firstLine="602" w:firstLineChars="200"/>
        <w:rPr>
          <w:rFonts w:ascii="仿宋" w:hAnsi="仿宋" w:cs="仿宋"/>
          <w:sz w:val="30"/>
          <w:szCs w:val="30"/>
        </w:rPr>
      </w:pPr>
      <w:bookmarkStart w:id="1" w:name="_Toc11416288"/>
      <w:r>
        <w:rPr>
          <w:rFonts w:hint="eastAsia" w:ascii="仿宋" w:hAnsi="仿宋" w:cs="仿宋"/>
          <w:sz w:val="30"/>
          <w:szCs w:val="30"/>
        </w:rPr>
        <w:t>1、任务来源</w:t>
      </w:r>
      <w:bookmarkEnd w:id="1"/>
    </w:p>
    <w:p>
      <w:pPr>
        <w:adjustRightInd w:val="0"/>
        <w:snapToGrid w:val="0"/>
        <w:spacing w:line="360" w:lineRule="auto"/>
        <w:ind w:firstLine="600" w:firstLineChars="200"/>
        <w:rPr>
          <w:rFonts w:ascii="仿宋" w:hAnsi="仿宋" w:eastAsia="仿宋" w:cs="仿宋"/>
          <w:color w:val="auto"/>
          <w:sz w:val="30"/>
          <w:szCs w:val="30"/>
        </w:rPr>
      </w:pPr>
      <w:r>
        <w:rPr>
          <w:rFonts w:hint="eastAsia" w:ascii="仿宋" w:hAnsi="仿宋" w:eastAsia="仿宋" w:cs="仿宋"/>
          <w:color w:val="auto"/>
          <w:sz w:val="30"/>
          <w:szCs w:val="30"/>
        </w:rPr>
        <w:t>根据“深圳市市场监督管理局关于下达202</w:t>
      </w:r>
      <w:r>
        <w:rPr>
          <w:rFonts w:hint="eastAsia" w:ascii="仿宋" w:hAnsi="仿宋" w:eastAsia="仿宋" w:cs="仿宋"/>
          <w:color w:val="auto"/>
          <w:sz w:val="30"/>
          <w:szCs w:val="30"/>
          <w:lang w:val="en-US" w:eastAsia="zh-CN"/>
        </w:rPr>
        <w:t>2</w:t>
      </w:r>
      <w:r>
        <w:rPr>
          <w:rFonts w:hint="eastAsia" w:ascii="仿宋" w:hAnsi="仿宋" w:eastAsia="仿宋" w:cs="仿宋"/>
          <w:color w:val="auto"/>
          <w:sz w:val="30"/>
          <w:szCs w:val="30"/>
        </w:rPr>
        <w:t xml:space="preserve">年第一批深圳市地方标准计划项目任务的通知”，《多功能智能杆 </w:t>
      </w:r>
      <w:r>
        <w:rPr>
          <w:rFonts w:ascii="仿宋" w:hAnsi="仿宋" w:eastAsia="仿宋" w:cs="仿宋"/>
          <w:color w:val="auto"/>
          <w:sz w:val="30"/>
          <w:szCs w:val="30"/>
        </w:rPr>
        <w:t xml:space="preserve"> </w:t>
      </w:r>
      <w:r>
        <w:rPr>
          <w:rFonts w:hint="eastAsia" w:ascii="仿宋" w:hAnsi="仿宋" w:eastAsia="仿宋" w:cs="仿宋"/>
          <w:color w:val="auto"/>
          <w:sz w:val="30"/>
          <w:szCs w:val="30"/>
        </w:rPr>
        <w:t>网络安全等级保护</w:t>
      </w:r>
      <w:r>
        <w:rPr>
          <w:rFonts w:hint="eastAsia" w:ascii="仿宋" w:hAnsi="仿宋" w:eastAsia="仿宋" w:cs="仿宋"/>
          <w:color w:val="auto"/>
          <w:sz w:val="30"/>
          <w:szCs w:val="30"/>
          <w:lang w:eastAsia="zh-CN"/>
        </w:rPr>
        <w:t>规范</w:t>
      </w:r>
      <w:bookmarkStart w:id="6" w:name="_GoBack"/>
      <w:bookmarkEnd w:id="6"/>
      <w:r>
        <w:rPr>
          <w:rFonts w:hint="eastAsia" w:ascii="仿宋" w:hAnsi="仿宋" w:eastAsia="仿宋" w:cs="仿宋"/>
          <w:color w:val="auto"/>
          <w:sz w:val="30"/>
          <w:szCs w:val="30"/>
        </w:rPr>
        <w:t>》地方标准批准立项。</w:t>
      </w:r>
    </w:p>
    <w:p>
      <w:pPr>
        <w:pStyle w:val="3"/>
        <w:snapToGrid w:val="0"/>
        <w:spacing w:before="0" w:beforeAutospacing="0" w:after="0" w:afterAutospacing="0" w:line="360" w:lineRule="auto"/>
        <w:ind w:firstLine="602" w:firstLineChars="200"/>
        <w:rPr>
          <w:rFonts w:ascii="仿宋" w:hAnsi="仿宋" w:cs="仿宋"/>
          <w:sz w:val="30"/>
          <w:szCs w:val="30"/>
        </w:rPr>
      </w:pPr>
      <w:r>
        <w:rPr>
          <w:rFonts w:hint="eastAsia" w:ascii="仿宋" w:hAnsi="仿宋" w:cs="仿宋"/>
          <w:sz w:val="30"/>
          <w:szCs w:val="30"/>
        </w:rPr>
        <w:t>2、主要工作过程</w:t>
      </w:r>
    </w:p>
    <w:p>
      <w:pPr>
        <w:snapToGrid w:val="0"/>
        <w:spacing w:line="360" w:lineRule="auto"/>
        <w:ind w:firstLine="602" w:firstLineChars="200"/>
        <w:rPr>
          <w:rFonts w:ascii="仿宋" w:hAnsi="仿宋" w:eastAsia="仿宋" w:cs="仿宋"/>
          <w:b/>
          <w:bCs/>
          <w:sz w:val="30"/>
          <w:szCs w:val="30"/>
        </w:rPr>
      </w:pPr>
      <w:r>
        <w:rPr>
          <w:rFonts w:hint="eastAsia" w:ascii="仿宋" w:hAnsi="仿宋" w:eastAsia="仿宋" w:cs="仿宋"/>
          <w:b/>
          <w:bCs/>
          <w:sz w:val="30"/>
          <w:szCs w:val="30"/>
        </w:rPr>
        <w:t>（一）预研阶段</w:t>
      </w:r>
    </w:p>
    <w:p>
      <w:pPr>
        <w:pStyle w:val="13"/>
        <w:widowControl/>
        <w:shd w:val="clear" w:color="auto" w:fill="FFFFFF"/>
        <w:snapToGrid w:val="0"/>
        <w:spacing w:before="0" w:beforeAutospacing="0" w:after="0" w:afterAutospacing="0" w:line="360" w:lineRule="auto"/>
        <w:ind w:firstLine="600" w:firstLineChars="200"/>
        <w:jc w:val="both"/>
        <w:rPr>
          <w:rFonts w:hint="eastAsia" w:ascii="仿宋" w:hAnsi="仿宋" w:eastAsia="仿宋" w:cs="仿宋"/>
          <w:kern w:val="2"/>
          <w:sz w:val="30"/>
          <w:szCs w:val="30"/>
        </w:rPr>
      </w:pPr>
      <w:r>
        <w:rPr>
          <w:rFonts w:hint="eastAsia" w:ascii="仿宋" w:hAnsi="仿宋" w:eastAsia="仿宋" w:cs="仿宋"/>
          <w:kern w:val="2"/>
          <w:sz w:val="30"/>
          <w:szCs w:val="30"/>
        </w:rPr>
        <w:t>项目下达后，充分吸收来自深圳多功能智能杆多个不同领域内有能力、经验和研究工作基础的专家、学者、企业代表</w:t>
      </w:r>
      <w:r>
        <w:rPr>
          <w:rFonts w:hint="eastAsia" w:ascii="仿宋" w:hAnsi="仿宋" w:eastAsia="仿宋" w:cs="仿宋"/>
          <w:kern w:val="2"/>
          <w:sz w:val="30"/>
          <w:szCs w:val="30"/>
          <w:lang w:val="en-US" w:eastAsia="zh-CN"/>
        </w:rPr>
        <w:t>组成标准编制组</w:t>
      </w:r>
      <w:r>
        <w:rPr>
          <w:rFonts w:hint="eastAsia" w:ascii="仿宋" w:hAnsi="仿宋" w:eastAsia="仿宋" w:cs="仿宋"/>
          <w:kern w:val="2"/>
          <w:sz w:val="30"/>
          <w:szCs w:val="30"/>
        </w:rPr>
        <w:t>，</w:t>
      </w:r>
      <w:r>
        <w:rPr>
          <w:rFonts w:hint="eastAsia" w:ascii="仿宋" w:hAnsi="仿宋" w:eastAsia="仿宋" w:cs="仿宋"/>
          <w:kern w:val="2"/>
          <w:sz w:val="30"/>
          <w:szCs w:val="30"/>
          <w:lang w:val="en-US" w:eastAsia="zh-CN"/>
        </w:rPr>
        <w:t>编制组</w:t>
      </w:r>
      <w:r>
        <w:rPr>
          <w:rFonts w:hint="eastAsia" w:ascii="仿宋" w:hAnsi="仿宋" w:eastAsia="仿宋" w:cs="仿宋"/>
          <w:kern w:val="2"/>
          <w:sz w:val="30"/>
          <w:szCs w:val="30"/>
        </w:rPr>
        <w:t>充分考虑深圳</w:t>
      </w:r>
      <w:r>
        <w:rPr>
          <w:rStyle w:val="18"/>
          <w:rFonts w:hint="eastAsia" w:ascii="仿宋" w:hAnsi="仿宋" w:eastAsia="仿宋" w:cs="仿宋"/>
          <w:b w:val="0"/>
          <w:bCs/>
          <w:color w:val="auto"/>
          <w:spacing w:val="0"/>
          <w:kern w:val="0"/>
          <w:sz w:val="28"/>
          <w:szCs w:val="28"/>
          <w:lang w:val="en-US" w:eastAsia="zh-CN" w:bidi="ar"/>
        </w:rPr>
        <w:t>多功能智能杆信息安全潜在的风险因子</w:t>
      </w:r>
      <w:r>
        <w:rPr>
          <w:rFonts w:hint="eastAsia" w:ascii="仿宋" w:hAnsi="仿宋" w:eastAsia="仿宋" w:cs="仿宋"/>
          <w:kern w:val="2"/>
          <w:sz w:val="30"/>
          <w:szCs w:val="30"/>
        </w:rPr>
        <w:t>，</w:t>
      </w:r>
      <w:r>
        <w:rPr>
          <w:rStyle w:val="18"/>
          <w:rFonts w:hint="eastAsia" w:ascii="仿宋" w:hAnsi="仿宋" w:eastAsia="仿宋" w:cs="仿宋"/>
          <w:b w:val="0"/>
          <w:bCs/>
          <w:color w:val="auto"/>
          <w:spacing w:val="0"/>
          <w:kern w:val="0"/>
          <w:sz w:val="28"/>
          <w:szCs w:val="28"/>
          <w:lang w:val="en-US" w:eastAsia="zh-CN" w:bidi="ar"/>
        </w:rPr>
        <w:t>为提高系统运维管理水平，满足相关法规的要求，防止黑客的入侵和恶意访问，跟踪服务器上用户行为，降低运维成本，提供控制和审计依据，</w:t>
      </w:r>
      <w:r>
        <w:rPr>
          <w:rFonts w:hint="eastAsia" w:ascii="仿宋" w:hAnsi="仿宋" w:eastAsia="仿宋" w:cs="仿宋"/>
          <w:kern w:val="2"/>
          <w:sz w:val="30"/>
          <w:szCs w:val="30"/>
        </w:rPr>
        <w:t>确定本标准的主要内容，完成标准编制大纲。</w:t>
      </w:r>
    </w:p>
    <w:p>
      <w:pPr>
        <w:pStyle w:val="13"/>
        <w:widowControl/>
        <w:shd w:val="clear" w:color="auto" w:fill="FFFFFF"/>
        <w:snapToGrid w:val="0"/>
        <w:spacing w:before="0" w:beforeAutospacing="0" w:after="0" w:afterAutospacing="0" w:line="360" w:lineRule="auto"/>
        <w:ind w:firstLine="602" w:firstLineChars="200"/>
        <w:jc w:val="both"/>
        <w:rPr>
          <w:rFonts w:ascii="仿宋" w:hAnsi="仿宋" w:eastAsia="仿宋" w:cs="仿宋"/>
          <w:kern w:val="2"/>
          <w:sz w:val="30"/>
          <w:szCs w:val="30"/>
        </w:rPr>
      </w:pPr>
      <w:r>
        <w:rPr>
          <w:rFonts w:hint="eastAsia" w:ascii="仿宋" w:hAnsi="仿宋" w:eastAsia="仿宋" w:cs="仿宋"/>
          <w:b/>
          <w:bCs/>
          <w:sz w:val="30"/>
          <w:szCs w:val="30"/>
        </w:rPr>
        <w:t>（二）编制阶段</w:t>
      </w:r>
    </w:p>
    <w:p>
      <w:pPr>
        <w:pStyle w:val="13"/>
        <w:widowControl/>
        <w:snapToGrid w:val="0"/>
        <w:spacing w:before="0" w:beforeAutospacing="0" w:after="0" w:afterAutospacing="0" w:line="360" w:lineRule="auto"/>
        <w:ind w:firstLine="600" w:firstLineChars="200"/>
        <w:rPr>
          <w:rFonts w:ascii="仿宋" w:hAnsi="仿宋" w:eastAsia="仿宋" w:cs="仿宋"/>
          <w:sz w:val="30"/>
          <w:szCs w:val="30"/>
        </w:rPr>
      </w:pPr>
      <w:r>
        <w:rPr>
          <w:rFonts w:hint="eastAsia" w:ascii="仿宋" w:hAnsi="仿宋" w:eastAsia="仿宋" w:cs="仿宋"/>
          <w:sz w:val="30"/>
          <w:szCs w:val="30"/>
        </w:rPr>
        <w:t>1）成立起草组</w:t>
      </w:r>
    </w:p>
    <w:p>
      <w:pPr>
        <w:pStyle w:val="13"/>
        <w:widowControl/>
        <w:snapToGrid w:val="0"/>
        <w:spacing w:before="0" w:beforeAutospacing="0" w:after="0" w:afterAutospacing="0" w:line="360" w:lineRule="auto"/>
        <w:ind w:firstLine="600" w:firstLineChars="200"/>
        <w:rPr>
          <w:rFonts w:ascii="仿宋" w:hAnsi="仿宋" w:eastAsia="仿宋" w:cs="仿宋"/>
          <w:sz w:val="30"/>
          <w:szCs w:val="30"/>
        </w:rPr>
      </w:pPr>
      <w:r>
        <w:rPr>
          <w:rFonts w:hint="eastAsia" w:ascii="仿宋" w:hAnsi="仿宋" w:eastAsia="仿宋" w:cs="仿宋"/>
          <w:sz w:val="30"/>
          <w:szCs w:val="30"/>
        </w:rPr>
        <w:t>充分吸收来自</w:t>
      </w:r>
      <w:r>
        <w:rPr>
          <w:rFonts w:hint="eastAsia" w:ascii="仿宋" w:hAnsi="仿宋" w:eastAsia="仿宋" w:cs="仿宋"/>
          <w:kern w:val="2"/>
          <w:sz w:val="30"/>
          <w:szCs w:val="30"/>
        </w:rPr>
        <w:t>多功能智能杆</w:t>
      </w:r>
      <w:r>
        <w:rPr>
          <w:rFonts w:hint="eastAsia" w:ascii="仿宋" w:hAnsi="仿宋" w:eastAsia="仿宋" w:cs="仿宋"/>
          <w:sz w:val="30"/>
          <w:szCs w:val="30"/>
        </w:rPr>
        <w:t>建设与管理各个不同领域内有能力、经验和研究工作基础的专家、学者、企业代表等，于标准立项批准后立即成立标准</w:t>
      </w:r>
      <w:r>
        <w:rPr>
          <w:rFonts w:hint="eastAsia" w:ascii="仿宋" w:hAnsi="仿宋" w:eastAsia="仿宋" w:cs="仿宋"/>
          <w:sz w:val="30"/>
          <w:szCs w:val="30"/>
          <w:lang w:val="en-US" w:eastAsia="zh-CN"/>
        </w:rPr>
        <w:t>编制</w:t>
      </w:r>
      <w:r>
        <w:rPr>
          <w:rFonts w:hint="eastAsia" w:ascii="仿宋" w:hAnsi="仿宋" w:eastAsia="仿宋" w:cs="仿宋"/>
          <w:sz w:val="30"/>
          <w:szCs w:val="30"/>
        </w:rPr>
        <w:t>组。</w:t>
      </w:r>
    </w:p>
    <w:p>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微软雅黑" w:hAnsi="微软雅黑" w:eastAsia="仿宋_GB2312" w:cs="仿宋_GB2312"/>
          <w:sz w:val="32"/>
          <w:lang w:val="en-US" w:eastAsia="zh-CN"/>
        </w:rPr>
      </w:pPr>
      <w:r>
        <w:rPr>
          <w:rFonts w:hint="eastAsia" w:ascii="仿宋" w:hAnsi="仿宋" w:eastAsia="仿宋" w:cs="仿宋"/>
          <w:kern w:val="2"/>
          <w:sz w:val="30"/>
          <w:szCs w:val="30"/>
          <w:lang w:val="en-US" w:eastAsia="zh-CN" w:bidi="ar-SA"/>
        </w:rPr>
        <w:t>2022年8月15日，深圳市《多功能智能杆 网络安全等级保护规范》和《多功能智能杆 信息系统安全管理规范》地方标准编制工作启动会在深圳市前海深港合作区南山街道桂湾五路123号前海大厦T2栋5楼会议室隆重举行，</w:t>
      </w:r>
      <w:r>
        <w:rPr>
          <w:rFonts w:hint="eastAsia" w:ascii="微软雅黑" w:hAnsi="微软雅黑" w:eastAsia="仿宋_GB2312" w:cs="仿宋_GB2312"/>
          <w:sz w:val="32"/>
          <w:lang w:eastAsia="zh-CN"/>
        </w:rPr>
        <w:t>会议由</w:t>
      </w:r>
      <w:r>
        <w:rPr>
          <w:rFonts w:hint="eastAsia" w:ascii="仿宋_GB2312" w:hAnsi="仿宋_GB2312" w:eastAsia="仿宋_GB2312" w:cs="仿宋_GB2312"/>
          <w:sz w:val="32"/>
          <w:szCs w:val="32"/>
        </w:rPr>
        <w:t>深圳市脉山龙信息技术股份有限公司</w:t>
      </w:r>
      <w:r>
        <w:rPr>
          <w:rFonts w:hint="eastAsia" w:ascii="微软雅黑" w:hAnsi="微软雅黑" w:eastAsia="仿宋_GB2312" w:cs="仿宋_GB2312"/>
          <w:sz w:val="32"/>
          <w:lang w:val="en-US" w:eastAsia="zh-CN"/>
        </w:rPr>
        <w:t>总裁</w:t>
      </w:r>
      <w:r>
        <w:rPr>
          <w:rFonts w:hint="eastAsia" w:ascii="微软雅黑" w:hAnsi="微软雅黑" w:eastAsia="仿宋_GB2312" w:cs="仿宋_GB2312"/>
          <w:sz w:val="32"/>
          <w:lang w:eastAsia="zh-CN"/>
        </w:rPr>
        <w:t>主</w:t>
      </w:r>
      <w:r>
        <w:rPr>
          <w:rFonts w:hint="eastAsia" w:ascii="微软雅黑" w:hAnsi="微软雅黑" w:eastAsia="仿宋_GB2312" w:cs="仿宋_GB2312"/>
          <w:sz w:val="32"/>
        </w:rPr>
        <w:t>持，</w:t>
      </w:r>
      <w:r>
        <w:rPr>
          <w:rFonts w:hint="eastAsia" w:ascii="仿宋_GB2312" w:hAnsi="仿宋_GB2312" w:eastAsia="仿宋_GB2312" w:cs="仿宋_GB2312"/>
          <w:sz w:val="32"/>
          <w:szCs w:val="32"/>
        </w:rPr>
        <w:t>市工信局信息基础设施处、</w:t>
      </w:r>
      <w:r>
        <w:rPr>
          <w:rFonts w:hint="eastAsia" w:ascii="微软雅黑" w:hAnsi="微软雅黑" w:eastAsia="仿宋_GB2312" w:cs="仿宋_GB2312"/>
          <w:sz w:val="32"/>
        </w:rPr>
        <w:t>深圳市信息基础设施投资发展有限公司</w:t>
      </w:r>
      <w:r>
        <w:rPr>
          <w:rFonts w:hint="eastAsia" w:ascii="微软雅黑" w:hAnsi="微软雅黑" w:eastAsia="仿宋_GB2312" w:cs="仿宋_GB2312"/>
          <w:sz w:val="32"/>
          <w:lang w:val="en-US" w:eastAsia="zh-CN"/>
        </w:rPr>
        <w:t>以</w:t>
      </w:r>
      <w:r>
        <w:rPr>
          <w:rFonts w:hint="eastAsia" w:ascii="微软雅黑" w:hAnsi="微软雅黑" w:eastAsia="仿宋_GB2312" w:cs="仿宋_GB2312"/>
          <w:sz w:val="32"/>
          <w:lang w:eastAsia="zh-CN"/>
        </w:rPr>
        <w:t>及</w:t>
      </w:r>
      <w:r>
        <w:rPr>
          <w:rFonts w:hint="eastAsia" w:ascii="仿宋_GB2312" w:hAnsi="仿宋_GB2312" w:eastAsia="仿宋_GB2312" w:cs="仿宋_GB2312"/>
          <w:sz w:val="32"/>
          <w:szCs w:val="32"/>
        </w:rPr>
        <w:t>脉山龙</w:t>
      </w:r>
      <w:r>
        <w:rPr>
          <w:rFonts w:hint="eastAsia" w:ascii="微软雅黑" w:hAnsi="微软雅黑" w:eastAsia="仿宋_GB2312" w:cs="仿宋_GB2312"/>
          <w:sz w:val="32"/>
        </w:rPr>
        <w:t>、</w:t>
      </w:r>
      <w:r>
        <w:rPr>
          <w:rFonts w:hint="eastAsia" w:ascii="微软雅黑" w:hAnsi="微软雅黑" w:eastAsia="仿宋_GB2312" w:cs="仿宋_GB2312"/>
          <w:sz w:val="32"/>
          <w:lang w:eastAsia="zh-CN"/>
        </w:rPr>
        <w:t>深信投、</w:t>
      </w:r>
      <w:r>
        <w:rPr>
          <w:rFonts w:hint="eastAsia" w:ascii="微软雅黑" w:hAnsi="微软雅黑" w:eastAsia="仿宋_GB2312" w:cs="仿宋_GB2312"/>
          <w:sz w:val="32"/>
        </w:rPr>
        <w:t>洲明</w:t>
      </w:r>
      <w:r>
        <w:rPr>
          <w:rFonts w:hint="eastAsia" w:ascii="微软雅黑" w:hAnsi="微软雅黑" w:eastAsia="仿宋_GB2312" w:cs="仿宋_GB2312"/>
          <w:sz w:val="32"/>
          <w:lang w:eastAsia="zh-CN"/>
        </w:rPr>
        <w:t>科技、</w:t>
      </w:r>
      <w:r>
        <w:rPr>
          <w:rFonts w:hint="eastAsia" w:ascii="仿宋_GB2312" w:hAnsi="仿宋_GB2312" w:eastAsia="仿宋_GB2312" w:cs="仿宋_GB2312"/>
          <w:color w:val="auto"/>
          <w:sz w:val="32"/>
          <w:szCs w:val="32"/>
        </w:rPr>
        <w:t>昂楷科技</w:t>
      </w:r>
      <w:r>
        <w:rPr>
          <w:rFonts w:hint="eastAsia" w:ascii="微软雅黑" w:hAnsi="微软雅黑" w:eastAsia="仿宋_GB2312" w:cs="仿宋_GB2312"/>
          <w:sz w:val="32"/>
          <w:lang w:eastAsia="zh-CN"/>
        </w:rPr>
        <w:t>等二十五</w:t>
      </w:r>
      <w:r>
        <w:rPr>
          <w:rFonts w:hint="eastAsia" w:ascii="微软雅黑" w:hAnsi="微软雅黑" w:eastAsia="仿宋_GB2312" w:cs="仿宋_GB2312"/>
          <w:sz w:val="32"/>
        </w:rPr>
        <w:t>家单位代表出席了会议。</w:t>
      </w:r>
      <w:r>
        <w:rPr>
          <w:rFonts w:hint="eastAsia" w:ascii="微软雅黑" w:hAnsi="微软雅黑" w:eastAsia="仿宋_GB2312" w:cs="仿宋_GB2312"/>
          <w:sz w:val="32"/>
          <w:lang w:val="en-US" w:eastAsia="zh-CN"/>
        </w:rPr>
        <w:t>本次会议的召开，统一了两项标准的编制思路和原则，确定了标准编制的下一步计划，为标准编制工作的顺利推进奠定了基础。</w:t>
      </w:r>
    </w:p>
    <w:p>
      <w:pPr>
        <w:pStyle w:val="13"/>
        <w:widowControl/>
        <w:snapToGrid w:val="0"/>
        <w:spacing w:before="0" w:beforeAutospacing="0" w:after="0" w:afterAutospacing="0" w:line="360" w:lineRule="auto"/>
        <w:rPr>
          <w:rFonts w:hint="eastAsia" w:ascii="仿宋" w:hAnsi="仿宋" w:eastAsia="仿宋" w:cs="仿宋"/>
          <w:sz w:val="30"/>
          <w:szCs w:val="30"/>
        </w:rPr>
      </w:pPr>
      <w:r>
        <w:rPr>
          <w:rFonts w:hint="eastAsia" w:ascii="仿宋" w:hAnsi="仿宋" w:eastAsia="仿宋" w:cs="仿宋"/>
          <w:sz w:val="30"/>
          <w:szCs w:val="30"/>
          <w:lang w:eastAsia="zh-CN"/>
        </w:rPr>
        <w:drawing>
          <wp:inline distT="0" distB="0" distL="114300" distR="114300">
            <wp:extent cx="5791835" cy="3566160"/>
            <wp:effectExtent l="0" t="0" r="18415" b="15240"/>
            <wp:docPr id="1" name="图片 1" descr="20220815地标启动会"/>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20220815地标启动会"/>
                    <pic:cNvPicPr>
                      <a:picLocks noChangeAspect="1"/>
                    </pic:cNvPicPr>
                  </pic:nvPicPr>
                  <pic:blipFill>
                    <a:blip r:embed="rId5"/>
                    <a:stretch>
                      <a:fillRect/>
                    </a:stretch>
                  </pic:blipFill>
                  <pic:spPr>
                    <a:xfrm>
                      <a:off x="0" y="0"/>
                      <a:ext cx="5791835" cy="3566160"/>
                    </a:xfrm>
                    <a:prstGeom prst="rect">
                      <a:avLst/>
                    </a:prstGeom>
                  </pic:spPr>
                </pic:pic>
              </a:graphicData>
            </a:graphic>
          </wp:inline>
        </w:drawing>
      </w:r>
    </w:p>
    <w:p>
      <w:pPr>
        <w:pStyle w:val="13"/>
        <w:widowControl/>
        <w:snapToGrid w:val="0"/>
        <w:spacing w:before="0" w:beforeAutospacing="0" w:after="0" w:afterAutospacing="0" w:line="360" w:lineRule="auto"/>
        <w:ind w:left="0" w:leftChars="0" w:firstLine="0" w:firstLineChars="0"/>
        <w:rPr>
          <w:rFonts w:hint="eastAsia" w:ascii="仿宋" w:hAnsi="仿宋" w:eastAsia="仿宋" w:cs="仿宋"/>
          <w:sz w:val="30"/>
          <w:szCs w:val="30"/>
          <w:lang w:eastAsia="zh-CN"/>
        </w:rPr>
      </w:pPr>
      <w:r>
        <w:rPr>
          <w:rFonts w:hint="eastAsia" w:ascii="仿宋" w:hAnsi="仿宋" w:eastAsia="仿宋" w:cs="仿宋"/>
          <w:sz w:val="30"/>
          <w:szCs w:val="30"/>
          <w:lang w:eastAsia="zh-CN"/>
        </w:rPr>
        <w:drawing>
          <wp:inline distT="0" distB="0" distL="114300" distR="114300">
            <wp:extent cx="5786120" cy="3858895"/>
            <wp:effectExtent l="0" t="0" r="5080" b="8255"/>
            <wp:docPr id="2" name="图片 2" descr="c97d64b59778ebdd2d50725d09e520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97d64b59778ebdd2d50725d09e5200b"/>
                    <pic:cNvPicPr>
                      <a:picLocks noChangeAspect="1"/>
                    </pic:cNvPicPr>
                  </pic:nvPicPr>
                  <pic:blipFill>
                    <a:blip r:embed="rId6"/>
                    <a:stretch>
                      <a:fillRect/>
                    </a:stretch>
                  </pic:blipFill>
                  <pic:spPr>
                    <a:xfrm>
                      <a:off x="0" y="0"/>
                      <a:ext cx="5786120" cy="3858895"/>
                    </a:xfrm>
                    <a:prstGeom prst="rect">
                      <a:avLst/>
                    </a:prstGeom>
                  </pic:spPr>
                </pic:pic>
              </a:graphicData>
            </a:graphic>
          </wp:inline>
        </w:drawing>
      </w:r>
    </w:p>
    <w:p>
      <w:pPr>
        <w:pStyle w:val="13"/>
        <w:widowControl/>
        <w:numPr>
          <w:ilvl w:val="0"/>
          <w:numId w:val="3"/>
        </w:numPr>
        <w:snapToGrid w:val="0"/>
        <w:spacing w:before="0" w:beforeAutospacing="0" w:after="0" w:afterAutospacing="0"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rPr>
        <w:t>形成标准草案</w:t>
      </w:r>
    </w:p>
    <w:p>
      <w:pPr>
        <w:pStyle w:val="13"/>
        <w:widowControl/>
        <w:numPr>
          <w:ilvl w:val="0"/>
          <w:numId w:val="0"/>
        </w:numPr>
        <w:snapToGrid w:val="0"/>
        <w:spacing w:before="0" w:beforeAutospacing="0" w:after="0" w:afterAutospacing="0"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2022年9月23日，深圳市《多功能智能杆 网络安全等级保护规范》和《多功能智能杆 信息系统安全管理规范》地方标准编制第二次工作会议在深圳市新一代产业园深信投公司1号会议室召开。参会专家对两项地标的标准草案做了深入研讨，拟定了两项地标修该完善的任务分工。</w:t>
      </w:r>
    </w:p>
    <w:p>
      <w:pPr>
        <w:pStyle w:val="47"/>
        <w:numPr>
          <w:ilvl w:val="0"/>
          <w:numId w:val="4"/>
        </w:numPr>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鼎铉商用密码测评技术（深圳）有限公司完善密码模块及加密方式等内容。</w:t>
      </w:r>
    </w:p>
    <w:p>
      <w:pPr>
        <w:pStyle w:val="47"/>
        <w:numPr>
          <w:ilvl w:val="0"/>
          <w:numId w:val="4"/>
        </w:numPr>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深圳市万集科技股份有限公司完善密码运算功能接口及软硬件模块内容。</w:t>
      </w:r>
    </w:p>
    <w:p>
      <w:pPr>
        <w:pStyle w:val="47"/>
        <w:numPr>
          <w:ilvl w:val="0"/>
          <w:numId w:val="4"/>
        </w:numPr>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深圳市博通智能技术有限公司完善安全物理环境、安全管理制度、安全管理机构等内容。</w:t>
      </w:r>
    </w:p>
    <w:p>
      <w:pPr>
        <w:pStyle w:val="47"/>
        <w:numPr>
          <w:ilvl w:val="0"/>
          <w:numId w:val="4"/>
        </w:numPr>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深圳市可信计算有限公司完善可信验证的流程图内容。</w:t>
      </w:r>
    </w:p>
    <w:p>
      <w:pPr>
        <w:pStyle w:val="47"/>
        <w:numPr>
          <w:ilvl w:val="0"/>
          <w:numId w:val="4"/>
        </w:numPr>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华为技术有限公司完善接入控制及接口协议等内容。</w:t>
      </w:r>
    </w:p>
    <w:p>
      <w:pPr>
        <w:pStyle w:val="47"/>
        <w:numPr>
          <w:ilvl w:val="0"/>
          <w:numId w:val="4"/>
        </w:numPr>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深圳昂楷科技有限公司完善数据分类及分级保护内容。</w:t>
      </w:r>
    </w:p>
    <w:p>
      <w:pPr>
        <w:snapToGrid w:val="0"/>
        <w:spacing w:line="360" w:lineRule="auto"/>
        <w:ind w:firstLine="600" w:firstLineChars="200"/>
        <w:rPr>
          <w:rFonts w:hint="eastAsia" w:ascii="仿宋" w:hAnsi="仿宋" w:eastAsia="仿宋" w:cs="仿宋"/>
          <w:sz w:val="30"/>
          <w:szCs w:val="30"/>
          <w:lang w:eastAsia="zh-CN"/>
        </w:rPr>
      </w:pPr>
      <w:r>
        <w:rPr>
          <w:rFonts w:hint="eastAsia" w:ascii="仿宋" w:hAnsi="仿宋" w:eastAsia="仿宋" w:cs="仿宋"/>
          <w:sz w:val="30"/>
          <w:szCs w:val="30"/>
          <w:lang w:eastAsia="zh-CN"/>
        </w:rPr>
        <w:drawing>
          <wp:inline distT="0" distB="0" distL="114300" distR="114300">
            <wp:extent cx="5784850" cy="3856990"/>
            <wp:effectExtent l="0" t="0" r="6350" b="10160"/>
            <wp:docPr id="4" name="图片 4" descr="202209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20220923-2"/>
                    <pic:cNvPicPr>
                      <a:picLocks noChangeAspect="1"/>
                    </pic:cNvPicPr>
                  </pic:nvPicPr>
                  <pic:blipFill>
                    <a:blip r:embed="rId7"/>
                    <a:stretch>
                      <a:fillRect/>
                    </a:stretch>
                  </pic:blipFill>
                  <pic:spPr>
                    <a:xfrm>
                      <a:off x="0" y="0"/>
                      <a:ext cx="5784850" cy="3856990"/>
                    </a:xfrm>
                    <a:prstGeom prst="rect">
                      <a:avLst/>
                    </a:prstGeom>
                  </pic:spPr>
                </pic:pic>
              </a:graphicData>
            </a:graphic>
          </wp:inline>
        </w:drawing>
      </w:r>
    </w:p>
    <w:p>
      <w:pPr>
        <w:snapToGrid w:val="0"/>
        <w:spacing w:line="360" w:lineRule="auto"/>
        <w:ind w:firstLine="600" w:firstLineChars="200"/>
        <w:rPr>
          <w:rFonts w:hint="eastAsia" w:ascii="仿宋" w:hAnsi="仿宋" w:eastAsia="仿宋" w:cs="仿宋"/>
          <w:sz w:val="30"/>
          <w:szCs w:val="30"/>
        </w:rPr>
      </w:pPr>
    </w:p>
    <w:p>
      <w:pPr>
        <w:snapToGrid w:val="0"/>
        <w:spacing w:line="360" w:lineRule="auto"/>
        <w:ind w:firstLine="600" w:firstLineChars="200"/>
        <w:rPr>
          <w:rFonts w:ascii="仿宋" w:hAnsi="仿宋" w:eastAsia="仿宋" w:cs="仿宋"/>
          <w:b/>
          <w:bCs/>
          <w:sz w:val="30"/>
          <w:szCs w:val="30"/>
        </w:rPr>
      </w:pPr>
      <w:r>
        <w:rPr>
          <w:rFonts w:hint="eastAsia" w:ascii="仿宋" w:hAnsi="仿宋" w:eastAsia="仿宋" w:cs="仿宋"/>
          <w:sz w:val="30"/>
          <w:szCs w:val="30"/>
        </w:rPr>
        <w:t>3）形成征求意见稿</w:t>
      </w:r>
    </w:p>
    <w:p>
      <w:pPr>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2022年</w:t>
      </w:r>
      <w:r>
        <w:rPr>
          <w:rFonts w:hint="eastAsia" w:ascii="仿宋_GB2312" w:hAnsi="仿宋_GB2312" w:eastAsia="仿宋_GB2312" w:cs="仿宋_GB2312"/>
          <w:sz w:val="32"/>
          <w:szCs w:val="32"/>
          <w:lang w:val="en-US" w:eastAsia="zh-CN"/>
        </w:rPr>
        <w:t>12</w:t>
      </w:r>
      <w:r>
        <w:rPr>
          <w:rFonts w:hint="eastAsia" w:ascii="仿宋_GB2312" w:hAnsi="仿宋_GB2312" w:eastAsia="仿宋_GB2312" w:cs="仿宋_GB2312"/>
          <w:sz w:val="32"/>
          <w:szCs w:val="32"/>
        </w:rPr>
        <w:t>月1</w:t>
      </w:r>
      <w:r>
        <w:rPr>
          <w:rFonts w:hint="eastAsia" w:ascii="仿宋_GB2312" w:hAnsi="仿宋_GB2312" w:eastAsia="仿宋_GB2312" w:cs="仿宋_GB2312"/>
          <w:sz w:val="32"/>
          <w:szCs w:val="32"/>
          <w:lang w:val="en-US" w:eastAsia="zh-CN"/>
        </w:rPr>
        <w:t>3</w:t>
      </w:r>
      <w:r>
        <w:rPr>
          <w:rFonts w:hint="eastAsia" w:ascii="仿宋_GB2312" w:hAnsi="仿宋_GB2312" w:eastAsia="仿宋_GB2312" w:cs="仿宋_GB2312"/>
          <w:sz w:val="32"/>
          <w:szCs w:val="32"/>
        </w:rPr>
        <w:t>日下午，</w:t>
      </w:r>
      <w:r>
        <w:rPr>
          <w:rFonts w:hint="eastAsia" w:ascii="仿宋_GB2312" w:hAnsi="仿宋_GB2312" w:eastAsia="仿宋_GB2312" w:cs="仿宋_GB2312"/>
          <w:sz w:val="32"/>
          <w:szCs w:val="32"/>
          <w:lang w:eastAsia="zh-CN"/>
        </w:rPr>
        <w:t>两项</w:t>
      </w:r>
      <w:r>
        <w:rPr>
          <w:rFonts w:hint="eastAsia" w:ascii="仿宋_GB2312" w:hAnsi="仿宋_GB2312" w:eastAsia="仿宋_GB2312" w:cs="仿宋_GB2312"/>
          <w:sz w:val="32"/>
          <w:szCs w:val="32"/>
        </w:rPr>
        <w:t>地标</w:t>
      </w:r>
      <w:r>
        <w:rPr>
          <w:rFonts w:hint="eastAsia" w:ascii="仿宋_GB2312" w:hAnsi="仿宋_GB2312" w:eastAsia="仿宋_GB2312" w:cs="仿宋_GB2312"/>
          <w:sz w:val="32"/>
          <w:szCs w:val="32"/>
          <w:lang w:eastAsia="zh-CN"/>
        </w:rPr>
        <w:t>编制第三次工作会议</w:t>
      </w:r>
      <w:r>
        <w:rPr>
          <w:rFonts w:hint="eastAsia" w:ascii="仿宋_GB2312" w:hAnsi="仿宋_GB2312" w:eastAsia="仿宋_GB2312" w:cs="仿宋_GB2312"/>
          <w:sz w:val="32"/>
          <w:szCs w:val="32"/>
        </w:rPr>
        <w:t>在深圳市</w:t>
      </w:r>
      <w:r>
        <w:rPr>
          <w:rFonts w:hint="eastAsia" w:ascii="仿宋_GB2312" w:hAnsi="仿宋_GB2312" w:eastAsia="仿宋_GB2312" w:cs="仿宋_GB2312"/>
          <w:sz w:val="32"/>
          <w:szCs w:val="32"/>
          <w:lang w:eastAsia="zh-CN"/>
        </w:rPr>
        <w:t>新一代产业园深信投公司</w:t>
      </w:r>
      <w:r>
        <w:rPr>
          <w:rFonts w:hint="eastAsia" w:ascii="仿宋_GB2312" w:hAnsi="仿宋_GB2312" w:eastAsia="仿宋_GB2312" w:cs="仿宋_GB2312"/>
          <w:sz w:val="32"/>
          <w:szCs w:val="32"/>
          <w:lang w:val="en-US" w:eastAsia="zh-CN"/>
        </w:rPr>
        <w:t>1号会议室召开。会议</w:t>
      </w:r>
      <w:r>
        <w:rPr>
          <w:rFonts w:hint="eastAsia" w:ascii="仿宋_GB2312" w:hAnsi="仿宋_GB2312" w:eastAsia="仿宋_GB2312" w:cs="仿宋_GB2312"/>
          <w:sz w:val="32"/>
          <w:szCs w:val="32"/>
        </w:rPr>
        <w:t>对多功能智能杆网络安全、信息系统安全</w:t>
      </w:r>
      <w:r>
        <w:rPr>
          <w:rFonts w:hint="eastAsia" w:ascii="仿宋_GB2312" w:hAnsi="仿宋_GB2312" w:eastAsia="仿宋_GB2312" w:cs="仿宋_GB2312"/>
          <w:sz w:val="32"/>
          <w:szCs w:val="32"/>
          <w:lang w:eastAsia="zh-CN"/>
        </w:rPr>
        <w:t>两项地标的</w:t>
      </w:r>
      <w:r>
        <w:rPr>
          <w:rFonts w:hint="eastAsia" w:ascii="仿宋_GB2312" w:hAnsi="仿宋_GB2312" w:eastAsia="仿宋_GB2312" w:cs="仿宋_GB2312"/>
          <w:sz w:val="32"/>
          <w:szCs w:val="32"/>
          <w:lang w:val="en-US" w:eastAsia="zh-CN"/>
        </w:rPr>
        <w:t>标准草稿</w:t>
      </w:r>
      <w:r>
        <w:rPr>
          <w:rFonts w:hint="eastAsia" w:ascii="仿宋_GB2312" w:hAnsi="仿宋_GB2312" w:eastAsia="仿宋_GB2312" w:cs="仿宋_GB2312"/>
          <w:sz w:val="32"/>
          <w:szCs w:val="32"/>
        </w:rPr>
        <w:t>进行了研讨。</w:t>
      </w:r>
      <w:r>
        <w:rPr>
          <w:rFonts w:hint="eastAsia" w:ascii="仿宋_GB2312" w:hAnsi="仿宋_GB2312" w:eastAsia="仿宋_GB2312" w:cs="仿宋_GB2312"/>
          <w:sz w:val="32"/>
          <w:szCs w:val="32"/>
          <w:lang w:eastAsia="zh-CN"/>
        </w:rPr>
        <w:t>参会专家对照</w:t>
      </w:r>
      <w:r>
        <w:rPr>
          <w:rFonts w:hint="eastAsia" w:ascii="仿宋_GB2312" w:hAnsi="仿宋_GB2312" w:eastAsia="仿宋_GB2312" w:cs="仿宋_GB2312"/>
          <w:sz w:val="32"/>
          <w:szCs w:val="32"/>
          <w:lang w:val="en-US" w:eastAsia="zh-CN"/>
        </w:rPr>
        <w:t>标准草</w:t>
      </w:r>
      <w:r>
        <w:rPr>
          <w:rFonts w:hint="eastAsia" w:ascii="仿宋_GB2312" w:hAnsi="仿宋_GB2312" w:eastAsia="仿宋_GB2312" w:cs="仿宋_GB2312"/>
          <w:sz w:val="32"/>
          <w:szCs w:val="32"/>
          <w:lang w:eastAsia="zh-CN"/>
        </w:rPr>
        <w:t>稿从网络安全的等级适应范围、密码模块、网络架构、接入控制、可信计算、数据安全及系统安全的管理要求等方便展开充分研讨。本着</w:t>
      </w:r>
      <w:r>
        <w:rPr>
          <w:rFonts w:hint="eastAsia" w:ascii="仿宋_GB2312" w:hAnsi="仿宋_GB2312" w:eastAsia="仿宋_GB2312" w:cs="仿宋_GB2312"/>
          <w:sz w:val="32"/>
          <w:szCs w:val="32"/>
        </w:rPr>
        <w:t>保证标准的科学性、先进性、规范性和可操作性</w:t>
      </w:r>
      <w:r>
        <w:rPr>
          <w:rFonts w:hint="eastAsia" w:ascii="仿宋_GB2312" w:hAnsi="仿宋_GB2312" w:eastAsia="仿宋_GB2312" w:cs="仿宋_GB2312"/>
          <w:sz w:val="32"/>
          <w:szCs w:val="32"/>
          <w:lang w:eastAsia="zh-CN"/>
        </w:rPr>
        <w:t>，完成讨论稿的第三次修改</w:t>
      </w:r>
      <w:r>
        <w:rPr>
          <w:rFonts w:hint="eastAsia" w:ascii="仿宋_GB2312" w:hAnsi="仿宋_GB2312" w:eastAsia="仿宋_GB2312" w:cs="仿宋_GB2312"/>
          <w:sz w:val="32"/>
          <w:szCs w:val="32"/>
        </w:rPr>
        <w:t>。</w:t>
      </w:r>
    </w:p>
    <w:p>
      <w:pPr>
        <w:snapToGrid w:val="0"/>
        <w:spacing w:line="360" w:lineRule="auto"/>
        <w:ind w:left="0" w:leftChars="0" w:firstLine="0" w:firstLineChars="0"/>
        <w:rPr>
          <w:rFonts w:hint="eastAsia" w:ascii="仿宋_GB2312" w:hAnsi="仿宋_GB2312" w:eastAsia="仿宋_GB2312" w:cs="仿宋_GB2312"/>
          <w:i w:val="0"/>
          <w:caps w:val="0"/>
          <w:color w:val="222222"/>
          <w:spacing w:val="8"/>
          <w:sz w:val="32"/>
          <w:szCs w:val="32"/>
          <w:shd w:val="clear" w:fill="FFFFFF"/>
          <w:lang w:eastAsia="zh-CN"/>
        </w:rPr>
      </w:pPr>
      <w:r>
        <w:rPr>
          <w:rFonts w:hint="eastAsia" w:ascii="仿宋_GB2312" w:hAnsi="仿宋_GB2312" w:eastAsia="仿宋_GB2312" w:cs="仿宋_GB2312"/>
          <w:i w:val="0"/>
          <w:caps w:val="0"/>
          <w:color w:val="222222"/>
          <w:spacing w:val="8"/>
          <w:sz w:val="32"/>
          <w:szCs w:val="32"/>
          <w:shd w:val="clear" w:fill="FFFFFF"/>
          <w:lang w:eastAsia="zh-CN"/>
        </w:rPr>
        <w:drawing>
          <wp:inline distT="0" distB="0" distL="114300" distR="114300">
            <wp:extent cx="5234940" cy="3268345"/>
            <wp:effectExtent l="0" t="0" r="3810" b="8255"/>
            <wp:docPr id="5" name="图片 5" descr="微信图片_20221213211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微信图片_20221213211843"/>
                    <pic:cNvPicPr>
                      <a:picLocks noChangeAspect="1"/>
                    </pic:cNvPicPr>
                  </pic:nvPicPr>
                  <pic:blipFill>
                    <a:blip r:embed="rId8"/>
                    <a:stretch>
                      <a:fillRect/>
                    </a:stretch>
                  </pic:blipFill>
                  <pic:spPr>
                    <a:xfrm>
                      <a:off x="0" y="0"/>
                      <a:ext cx="5234940" cy="3268345"/>
                    </a:xfrm>
                    <a:prstGeom prst="rect">
                      <a:avLst/>
                    </a:prstGeom>
                  </pic:spPr>
                </pic:pic>
              </a:graphicData>
            </a:graphic>
          </wp:inline>
        </w:drawing>
      </w:r>
    </w:p>
    <w:p>
      <w:pPr>
        <w:snapToGrid w:val="0"/>
        <w:spacing w:line="360" w:lineRule="auto"/>
        <w:ind w:firstLine="672" w:firstLineChars="200"/>
        <w:rPr>
          <w:rFonts w:hint="eastAsia" w:ascii="仿宋_GB2312" w:hAnsi="仿宋_GB2312" w:eastAsia="仿宋_GB2312" w:cs="仿宋_GB2312"/>
          <w:i w:val="0"/>
          <w:caps w:val="0"/>
          <w:color w:val="222222"/>
          <w:spacing w:val="8"/>
          <w:sz w:val="32"/>
          <w:szCs w:val="32"/>
          <w:shd w:val="clear" w:fill="FFFFFF"/>
          <w:lang w:eastAsia="zh-CN"/>
        </w:rPr>
      </w:pPr>
    </w:p>
    <w:p>
      <w:pPr>
        <w:snapToGrid w:val="0"/>
        <w:spacing w:line="360" w:lineRule="auto"/>
        <w:ind w:firstLine="672" w:firstLineChars="200"/>
        <w:rPr>
          <w:rFonts w:hint="default" w:ascii="仿宋_GB2312" w:hAnsi="仿宋_GB2312" w:eastAsia="仿宋_GB2312" w:cs="仿宋_GB2312"/>
          <w:i w:val="0"/>
          <w:caps w:val="0"/>
          <w:color w:val="222222"/>
          <w:spacing w:val="8"/>
          <w:sz w:val="32"/>
          <w:szCs w:val="32"/>
          <w:shd w:val="clear" w:fill="FFFFFF"/>
          <w:lang w:val="en-US" w:eastAsia="zh-CN"/>
        </w:rPr>
      </w:pPr>
      <w:r>
        <w:rPr>
          <w:rFonts w:hint="eastAsia" w:ascii="仿宋_GB2312" w:hAnsi="仿宋_GB2312" w:eastAsia="仿宋_GB2312" w:cs="仿宋_GB2312"/>
          <w:i w:val="0"/>
          <w:caps w:val="0"/>
          <w:color w:val="222222"/>
          <w:spacing w:val="8"/>
          <w:sz w:val="32"/>
          <w:szCs w:val="32"/>
          <w:shd w:val="clear" w:fill="FFFFFF"/>
          <w:lang w:val="en-US" w:eastAsia="zh-CN"/>
        </w:rPr>
        <w:t>2023年3月</w:t>
      </w:r>
      <w:r>
        <w:rPr>
          <w:rFonts w:hint="eastAsia" w:ascii="仿宋_GB2312" w:hAnsi="仿宋_GB2312" w:eastAsia="仿宋_GB2312" w:cs="仿宋_GB2312"/>
          <w:i w:val="0"/>
          <w:caps w:val="0"/>
          <w:color w:val="FF0000"/>
          <w:spacing w:val="8"/>
          <w:sz w:val="32"/>
          <w:szCs w:val="32"/>
          <w:shd w:val="clear" w:fill="FFFFFF"/>
          <w:lang w:val="en-US" w:eastAsia="zh-CN"/>
        </w:rPr>
        <w:t>X日，</w:t>
      </w:r>
      <w:r>
        <w:rPr>
          <w:rFonts w:hint="eastAsia" w:ascii="仿宋_GB2312" w:hAnsi="仿宋_GB2312" w:eastAsia="仿宋_GB2312" w:cs="仿宋_GB2312"/>
          <w:i w:val="0"/>
          <w:caps w:val="0"/>
          <w:color w:val="auto"/>
          <w:spacing w:val="8"/>
          <w:sz w:val="32"/>
          <w:szCs w:val="32"/>
          <w:shd w:val="clear" w:fill="FFFFFF"/>
          <w:lang w:val="en-US" w:eastAsia="zh-CN"/>
        </w:rPr>
        <w:t>深圳市工业和信息化局将</w:t>
      </w:r>
      <w:r>
        <w:rPr>
          <w:rFonts w:hint="eastAsia" w:ascii="仿宋_GB2312" w:hAnsi="仿宋_GB2312" w:eastAsia="仿宋_GB2312" w:cs="仿宋_GB2312"/>
          <w:i w:val="0"/>
          <w:caps w:val="0"/>
          <w:color w:val="222222"/>
          <w:spacing w:val="8"/>
          <w:sz w:val="32"/>
          <w:szCs w:val="32"/>
          <w:shd w:val="clear" w:fill="FFFFFF"/>
          <w:lang w:val="en-US" w:eastAsia="zh-CN"/>
        </w:rPr>
        <w:t>会后修改标准稿发给相关局征求意见，深圳市交通运输局、深圳市通信管理局、深圳市水务局、深圳市气象局、深圳大学都有书面反馈意见（详见附件1）。</w:t>
      </w:r>
    </w:p>
    <w:p>
      <w:pPr>
        <w:snapToGrid w:val="0"/>
        <w:spacing w:line="360" w:lineRule="auto"/>
        <w:ind w:firstLine="420" w:firstLineChars="200"/>
        <w:rPr>
          <w:rFonts w:hint="eastAsia" w:ascii="仿宋" w:hAnsi="仿宋" w:eastAsia="仿宋" w:cs="仿宋"/>
          <w:sz w:val="30"/>
          <w:szCs w:val="30"/>
        </w:rPr>
      </w:pPr>
      <w:r>
        <w:drawing>
          <wp:inline distT="0" distB="0" distL="114300" distR="114300">
            <wp:extent cx="5067935" cy="7247890"/>
            <wp:effectExtent l="0" t="0" r="18415" b="1016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9"/>
                    <a:stretch>
                      <a:fillRect/>
                    </a:stretch>
                  </pic:blipFill>
                  <pic:spPr>
                    <a:xfrm>
                      <a:off x="0" y="0"/>
                      <a:ext cx="5067935" cy="7247890"/>
                    </a:xfrm>
                    <a:prstGeom prst="rect">
                      <a:avLst/>
                    </a:prstGeom>
                    <a:noFill/>
                    <a:ln>
                      <a:noFill/>
                    </a:ln>
                  </pic:spPr>
                </pic:pic>
              </a:graphicData>
            </a:graphic>
          </wp:inline>
        </w:drawing>
      </w:r>
    </w:p>
    <w:p>
      <w:pPr>
        <w:widowControl w:val="0"/>
        <w:numPr>
          <w:ilvl w:val="0"/>
          <w:numId w:val="0"/>
        </w:numPr>
        <w:snapToGrid w:val="0"/>
        <w:spacing w:line="360" w:lineRule="auto"/>
        <w:ind w:firstLine="600" w:firstLineChars="200"/>
        <w:jc w:val="both"/>
        <w:rPr>
          <w:rFonts w:hint="eastAsia" w:ascii="仿宋" w:hAnsi="仿宋" w:eastAsia="仿宋" w:cs="仿宋"/>
          <w:sz w:val="30"/>
          <w:szCs w:val="30"/>
        </w:rPr>
      </w:pPr>
      <w:r>
        <w:rPr>
          <w:rFonts w:hint="eastAsia" w:ascii="仿宋" w:hAnsi="仿宋" w:eastAsia="仿宋" w:cs="仿宋"/>
          <w:sz w:val="30"/>
          <w:szCs w:val="30"/>
        </w:rPr>
        <w:t>在收到各个局的反馈意见后，对原稿</w:t>
      </w:r>
      <w:r>
        <w:rPr>
          <w:rFonts w:hint="eastAsia" w:ascii="仿宋" w:hAnsi="仿宋" w:eastAsia="仿宋" w:cs="仿宋"/>
          <w:sz w:val="30"/>
          <w:szCs w:val="30"/>
          <w:lang w:val="en-US" w:eastAsia="zh-CN"/>
        </w:rPr>
        <w:t>再次</w:t>
      </w:r>
      <w:r>
        <w:rPr>
          <w:rFonts w:hint="eastAsia" w:ascii="仿宋" w:hAnsi="仿宋" w:eastAsia="仿宋" w:cs="仿宋"/>
          <w:sz w:val="30"/>
          <w:szCs w:val="30"/>
        </w:rPr>
        <w:t>进行修改完善，形成</w:t>
      </w:r>
      <w:r>
        <w:rPr>
          <w:rFonts w:hint="eastAsia" w:ascii="仿宋" w:hAnsi="仿宋" w:eastAsia="仿宋" w:cs="仿宋"/>
          <w:sz w:val="30"/>
          <w:szCs w:val="30"/>
          <w:lang w:val="en-US" w:eastAsia="zh-CN"/>
        </w:rPr>
        <w:t>现在的</w:t>
      </w:r>
      <w:r>
        <w:rPr>
          <w:rFonts w:hint="eastAsia" w:ascii="仿宋" w:hAnsi="仿宋" w:eastAsia="仿宋" w:cs="仿宋"/>
          <w:sz w:val="30"/>
          <w:szCs w:val="30"/>
        </w:rPr>
        <w:t>征求意见稿。</w:t>
      </w:r>
    </w:p>
    <w:p>
      <w:pPr>
        <w:pStyle w:val="2"/>
        <w:numPr>
          <w:ilvl w:val="0"/>
          <w:numId w:val="5"/>
        </w:numPr>
        <w:snapToGrid w:val="0"/>
        <w:spacing w:before="0" w:beforeAutospacing="0" w:after="0" w:afterAutospacing="0" w:line="360" w:lineRule="auto"/>
        <w:rPr>
          <w:rFonts w:hint="eastAsia" w:ascii="仿宋" w:hAnsi="仿宋" w:cs="Times New Roman"/>
          <w:sz w:val="32"/>
          <w:szCs w:val="32"/>
        </w:rPr>
      </w:pPr>
      <w:r>
        <w:rPr>
          <w:rFonts w:hint="eastAsia" w:ascii="仿宋" w:hAnsi="仿宋" w:cs="Times New Roman"/>
          <w:sz w:val="32"/>
          <w:szCs w:val="32"/>
          <w:lang w:val="en-US" w:eastAsia="zh-CN"/>
        </w:rPr>
        <w:t>编制原则、技术</w:t>
      </w:r>
      <w:r>
        <w:rPr>
          <w:rFonts w:hint="eastAsia" w:ascii="仿宋" w:hAnsi="仿宋" w:cs="Times New Roman"/>
          <w:sz w:val="32"/>
          <w:szCs w:val="32"/>
        </w:rPr>
        <w:t>依据、国际先进标准的对标情况</w:t>
      </w:r>
    </w:p>
    <w:p>
      <w:pPr>
        <w:pStyle w:val="3"/>
        <w:snapToGrid w:val="0"/>
        <w:spacing w:before="0" w:beforeAutospacing="0" w:after="0" w:afterAutospacing="0" w:line="360" w:lineRule="auto"/>
        <w:ind w:firstLine="602" w:firstLineChars="200"/>
        <w:rPr>
          <w:rFonts w:hint="eastAsia" w:ascii="仿宋" w:hAnsi="仿宋" w:cs="仿宋"/>
          <w:sz w:val="30"/>
          <w:szCs w:val="30"/>
        </w:rPr>
      </w:pPr>
      <w:r>
        <w:rPr>
          <w:rFonts w:hint="eastAsia" w:ascii="仿宋" w:hAnsi="仿宋" w:cs="仿宋"/>
          <w:sz w:val="30"/>
          <w:szCs w:val="30"/>
        </w:rPr>
        <w:t>1、</w:t>
      </w:r>
      <w:r>
        <w:rPr>
          <w:rFonts w:hint="eastAsia" w:ascii="仿宋" w:hAnsi="仿宋" w:cs="Times New Roman"/>
          <w:sz w:val="32"/>
          <w:szCs w:val="32"/>
          <w:lang w:val="en-US" w:eastAsia="zh-CN"/>
        </w:rPr>
        <w:t>编制原则</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rPr>
        <w:t>遵循“科学、实用、适度”的原则，既考虑标准的前瞻性又顾及深圳市多功能智能杆网络安全等级保护发展的实际情况，充分调研深圳市多功能智能杆网络安全等级保护</w:t>
      </w:r>
      <w:r>
        <w:rPr>
          <w:rFonts w:hint="eastAsia" w:ascii="仿宋" w:hAnsi="仿宋" w:eastAsia="仿宋" w:cs="仿宋"/>
          <w:sz w:val="30"/>
          <w:szCs w:val="30"/>
          <w:lang w:val="en-US" w:eastAsia="zh-CN"/>
        </w:rPr>
        <w:t>的实际</w:t>
      </w:r>
      <w:r>
        <w:rPr>
          <w:rFonts w:hint="eastAsia" w:ascii="仿宋" w:hAnsi="仿宋" w:eastAsia="仿宋" w:cs="仿宋"/>
          <w:sz w:val="30"/>
          <w:szCs w:val="30"/>
        </w:rPr>
        <w:t>情况，包括</w:t>
      </w:r>
      <w:r>
        <w:rPr>
          <w:rFonts w:hint="eastAsia" w:ascii="仿宋" w:hAnsi="仿宋" w:eastAsia="仿宋" w:cs="仿宋"/>
          <w:sz w:val="30"/>
          <w:szCs w:val="30"/>
          <w:lang w:eastAsia="zh-CN"/>
        </w:rPr>
        <w:t>：</w:t>
      </w:r>
      <w:r>
        <w:rPr>
          <w:rFonts w:hint="eastAsia" w:ascii="仿宋" w:hAnsi="仿宋" w:eastAsia="仿宋" w:cs="仿宋"/>
          <w:sz w:val="30"/>
          <w:szCs w:val="30"/>
          <w:lang w:val="en-US" w:eastAsia="zh-CN"/>
        </w:rPr>
        <w:t>终端安全接入方面的潜在风险，数据传输安全方面的潜在风险，系统管理安全方面的潜在风险。如：多功能智能杆挂载智能屏可能被攻击者利用，篡改发布不良言论，引发政治问题。我们的多功能智能杆安装的摄像头大都是高清摄像头，物理分布广，出现安全事件时，影响范围也极大。如果摄像头存在私接、仿冒现象，攻击者违规接入内网，敏感信息容易被获取或破坏。且摄像头已知漏洞大多缺乏补丁和加固措施，攻击者可控制摄像头对外发起DDoS攻击，或截取摄像头上的敏感监控内容。此外，由于摄像头认证方式简单和物理位置分散的原因，对攻击者而言入侵成本是很低的。</w:t>
      </w:r>
    </w:p>
    <w:p>
      <w:pPr>
        <w:pStyle w:val="3"/>
        <w:snapToGrid w:val="0"/>
        <w:spacing w:before="0" w:beforeAutospacing="0" w:after="0" w:afterAutospacing="0" w:line="360" w:lineRule="auto"/>
        <w:ind w:firstLine="602" w:firstLineChars="200"/>
        <w:rPr>
          <w:rFonts w:ascii="仿宋" w:hAnsi="仿宋" w:cs="仿宋"/>
          <w:sz w:val="30"/>
          <w:szCs w:val="30"/>
        </w:rPr>
      </w:pPr>
      <w:r>
        <w:rPr>
          <w:rFonts w:hint="eastAsia" w:ascii="仿宋" w:hAnsi="仿宋" w:cs="仿宋"/>
          <w:sz w:val="30"/>
          <w:szCs w:val="30"/>
          <w:lang w:val="en-US" w:eastAsia="zh-CN"/>
        </w:rPr>
        <w:t>2、技术</w:t>
      </w:r>
      <w:r>
        <w:rPr>
          <w:rFonts w:hint="eastAsia" w:ascii="仿宋" w:hAnsi="仿宋" w:cs="仿宋"/>
          <w:sz w:val="30"/>
          <w:szCs w:val="30"/>
        </w:rPr>
        <w:t>依据</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rPr>
        <w:t>《中华人民共和国网络安全法》</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rPr>
        <w:t>《中华人民共和国数据安全法》</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rPr>
        <w:t>《中华人民共和国个人信息保护法》</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rPr>
        <w:t>GB/T 35273-2020《信息安全技术 个人信息安全规范》</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rPr>
        <w:t>GB/T 37988-2019《信息安全技术 数据安全能力成熟度模型》</w:t>
      </w:r>
    </w:p>
    <w:p>
      <w:pPr>
        <w:pStyle w:val="3"/>
        <w:snapToGrid w:val="0"/>
        <w:spacing w:before="0" w:beforeAutospacing="0" w:after="0" w:afterAutospacing="0" w:line="360" w:lineRule="auto"/>
        <w:ind w:firstLine="602" w:firstLineChars="200"/>
        <w:rPr>
          <w:rFonts w:ascii="仿宋" w:hAnsi="仿宋" w:cs="仿宋"/>
          <w:sz w:val="30"/>
          <w:szCs w:val="30"/>
        </w:rPr>
      </w:pPr>
      <w:r>
        <w:rPr>
          <w:rFonts w:hint="eastAsia" w:ascii="仿宋" w:hAnsi="仿宋" w:cs="仿宋"/>
          <w:sz w:val="30"/>
          <w:szCs w:val="30"/>
          <w:lang w:val="en-US" w:eastAsia="zh-CN"/>
        </w:rPr>
        <w:t>3</w:t>
      </w:r>
      <w:r>
        <w:rPr>
          <w:rFonts w:hint="eastAsia" w:ascii="仿宋" w:hAnsi="仿宋" w:cs="仿宋"/>
          <w:sz w:val="30"/>
          <w:szCs w:val="30"/>
        </w:rPr>
        <w:t>、与国内领先、国际先进标准的对标情况</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rPr>
        <w:t>目前在国</w:t>
      </w:r>
      <w:r>
        <w:rPr>
          <w:rFonts w:hint="eastAsia" w:ascii="仿宋" w:hAnsi="仿宋" w:eastAsia="仿宋" w:cs="仿宋"/>
          <w:sz w:val="30"/>
          <w:szCs w:val="30"/>
          <w:lang w:val="en-US" w:eastAsia="zh-CN"/>
        </w:rPr>
        <w:t>内</w:t>
      </w:r>
      <w:r>
        <w:rPr>
          <w:rFonts w:hint="eastAsia" w:ascii="仿宋" w:hAnsi="仿宋" w:eastAsia="仿宋" w:cs="仿宋"/>
          <w:sz w:val="30"/>
          <w:szCs w:val="30"/>
        </w:rPr>
        <w:t>外，信息安全已有相应的标准，未查到“多功能智能杆  网络安全等级保护基本要求”的相关标准。我们国家则在国家、行业、地方、团体标准等各个层面皆有信息安全</w:t>
      </w:r>
      <w:r>
        <w:rPr>
          <w:rFonts w:hint="eastAsia" w:ascii="仿宋" w:hAnsi="仿宋" w:eastAsia="仿宋" w:cs="仿宋"/>
          <w:sz w:val="30"/>
          <w:szCs w:val="30"/>
          <w:lang w:val="en-US" w:eastAsia="zh-CN"/>
        </w:rPr>
        <w:t>的</w:t>
      </w:r>
      <w:r>
        <w:rPr>
          <w:rFonts w:hint="eastAsia" w:ascii="仿宋" w:hAnsi="仿宋" w:eastAsia="仿宋" w:cs="仿宋"/>
          <w:sz w:val="30"/>
          <w:szCs w:val="30"/>
        </w:rPr>
        <w:t>发布</w:t>
      </w:r>
      <w:r>
        <w:rPr>
          <w:rFonts w:hint="eastAsia" w:ascii="仿宋" w:hAnsi="仿宋" w:eastAsia="仿宋" w:cs="仿宋"/>
          <w:sz w:val="30"/>
          <w:szCs w:val="30"/>
          <w:lang w:eastAsia="zh-CN"/>
        </w:rPr>
        <w:t>，</w:t>
      </w:r>
      <w:r>
        <w:rPr>
          <w:rFonts w:hint="eastAsia" w:ascii="仿宋" w:hAnsi="仿宋" w:eastAsia="仿宋" w:cs="仿宋"/>
          <w:sz w:val="30"/>
          <w:szCs w:val="30"/>
          <w:lang w:val="en-US" w:eastAsia="zh-CN"/>
        </w:rPr>
        <w:t>但</w:t>
      </w:r>
      <w:r>
        <w:rPr>
          <w:rFonts w:hint="eastAsia" w:ascii="仿宋" w:hAnsi="仿宋" w:eastAsia="仿宋" w:cs="仿宋"/>
          <w:sz w:val="30"/>
          <w:szCs w:val="30"/>
        </w:rPr>
        <w:t>基本上都是网络安全等级保护通用技术标准，</w:t>
      </w:r>
      <w:r>
        <w:rPr>
          <w:rFonts w:hint="eastAsia" w:ascii="仿宋" w:hAnsi="仿宋" w:eastAsia="仿宋" w:cs="仿宋"/>
          <w:sz w:val="30"/>
          <w:szCs w:val="30"/>
          <w:lang w:val="en-US" w:eastAsia="zh-CN"/>
        </w:rPr>
        <w:t>或者</w:t>
      </w:r>
      <w:r>
        <w:rPr>
          <w:rFonts w:hint="eastAsia" w:ascii="仿宋" w:hAnsi="仿宋" w:eastAsia="仿宋" w:cs="仿宋"/>
          <w:sz w:val="30"/>
          <w:szCs w:val="30"/>
        </w:rPr>
        <w:t>都是特定领域，如公安系统、广播电视、证券期货、民用航空、金融、林业的网络安全等级保护专用技术标准。本标准与上述标准侧重点不同：主要是针对智慧城市信息基础设施中多功能智能杆的网络安全等级保护。深圳在多功能智能杆的实践探索，无论从深度和广度上都已经远超出</w:t>
      </w:r>
      <w:r>
        <w:rPr>
          <w:rFonts w:hint="eastAsia" w:ascii="仿宋" w:hAnsi="仿宋" w:eastAsia="仿宋" w:cs="仿宋"/>
          <w:sz w:val="30"/>
          <w:szCs w:val="30"/>
          <w:lang w:val="en-US" w:eastAsia="zh-CN"/>
        </w:rPr>
        <w:t>国内外</w:t>
      </w:r>
      <w:r>
        <w:rPr>
          <w:rFonts w:hint="eastAsia" w:ascii="仿宋" w:hAnsi="仿宋" w:eastAsia="仿宋" w:cs="仿宋"/>
          <w:sz w:val="30"/>
          <w:szCs w:val="30"/>
        </w:rPr>
        <w:t>标准所述的范围。本地方标准将在实践探索中的经验融入到条款中，比</w:t>
      </w:r>
      <w:r>
        <w:rPr>
          <w:rFonts w:hint="eastAsia" w:ascii="仿宋" w:hAnsi="仿宋" w:eastAsia="仿宋" w:cs="仿宋"/>
          <w:sz w:val="30"/>
          <w:szCs w:val="30"/>
          <w:lang w:val="en-US" w:eastAsia="zh-CN"/>
        </w:rPr>
        <w:t>国内外的信息安全</w:t>
      </w:r>
      <w:r>
        <w:rPr>
          <w:rFonts w:hint="eastAsia" w:ascii="仿宋" w:hAnsi="仿宋" w:eastAsia="仿宋" w:cs="仿宋"/>
          <w:sz w:val="30"/>
          <w:szCs w:val="30"/>
        </w:rPr>
        <w:t>标准的内容细化和精准。</w:t>
      </w:r>
    </w:p>
    <w:p>
      <w:pPr>
        <w:snapToGrid w:val="0"/>
        <w:spacing w:line="360" w:lineRule="auto"/>
        <w:ind w:firstLine="602" w:firstLineChars="200"/>
        <w:rPr>
          <w:rFonts w:ascii="仿宋" w:hAnsi="仿宋" w:eastAsia="仿宋" w:cs="仿宋"/>
          <w:b/>
          <w:bCs/>
          <w:sz w:val="30"/>
          <w:szCs w:val="30"/>
        </w:rPr>
      </w:pPr>
      <w:r>
        <w:rPr>
          <w:rFonts w:hint="eastAsia" w:ascii="仿宋" w:hAnsi="仿宋" w:eastAsia="仿宋" w:cs="仿宋"/>
          <w:b/>
          <w:bCs/>
          <w:sz w:val="30"/>
          <w:szCs w:val="30"/>
        </w:rPr>
        <w:t>国外</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1、ISO/IEC TR 13335-5-2001信息技术.IT安全管理导则.网络安全管理导则</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2、ISO/IEC 18028-4-2005 信息技术 安全技术 IT网络安全 第4部分：安全远程入网</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3、ISO/IEC 27033-4-2014 信息技术 安全技术 IT网络安全 第3部分：用安全通道保证网络间通信</w:t>
      </w:r>
    </w:p>
    <w:p>
      <w:pPr>
        <w:snapToGrid w:val="0"/>
        <w:spacing w:line="360" w:lineRule="auto"/>
        <w:ind w:firstLine="602" w:firstLineChars="200"/>
        <w:rPr>
          <w:rFonts w:hint="eastAsia" w:ascii="仿宋" w:hAnsi="仿宋" w:eastAsia="仿宋" w:cs="仿宋"/>
          <w:b/>
          <w:bCs/>
          <w:sz w:val="30"/>
          <w:szCs w:val="30"/>
        </w:rPr>
      </w:pPr>
      <w:r>
        <w:rPr>
          <w:rFonts w:hint="eastAsia" w:ascii="仿宋" w:hAnsi="仿宋" w:eastAsia="仿宋" w:cs="仿宋"/>
          <w:b/>
          <w:bCs/>
          <w:sz w:val="30"/>
          <w:szCs w:val="30"/>
        </w:rPr>
        <w:t>国家标准</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1、GB/T 22239-2019 信息安全技术 网络安全等级保护基本要求</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2、GB/T 22240-2020 信息安全技术 网络安全等级保护定级指南</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3、GB/T 25058-2019 信息安全技术 网络安全等级保护实施指南</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4、GB/T 25070-2019 信息安全技术 网络安全等级保护安全设计技术要求</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5、GB/T 28448-2019 信息安全技术 网络安全等级保护测评要求</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6、GB/T 28449-2018 信息安全技术 网络安全等级保护测评过程指南</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7、GB/T 36627-2018 信息安全技术 网络安全等级保护测试评估技术指南</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8、GB/T 36958-2018 信息安全技术 网络安全等级保护安全管理中心技术要求</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9、GB/T 36959-2018 信息安全技术 网络安全等级保护测评机构能力要求和评估规范</w:t>
      </w:r>
    </w:p>
    <w:p>
      <w:pPr>
        <w:snapToGrid w:val="0"/>
        <w:spacing w:line="360" w:lineRule="auto"/>
        <w:ind w:firstLine="602" w:firstLineChars="200"/>
        <w:rPr>
          <w:rFonts w:hint="eastAsia" w:ascii="仿宋" w:hAnsi="仿宋" w:eastAsia="仿宋" w:cs="仿宋"/>
          <w:b/>
          <w:bCs/>
          <w:sz w:val="30"/>
          <w:szCs w:val="30"/>
        </w:rPr>
      </w:pPr>
      <w:r>
        <w:rPr>
          <w:rFonts w:hint="eastAsia" w:ascii="仿宋" w:hAnsi="仿宋" w:eastAsia="仿宋" w:cs="仿宋"/>
          <w:b/>
          <w:bCs/>
          <w:sz w:val="30"/>
          <w:szCs w:val="30"/>
        </w:rPr>
        <w:t>行业标准</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1、GA/T 1349-2017信息安全技术 网络安全等级保护专用知识库接口规范</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2、GA/T 1735.1-2020网络安全等级保护检查工具技术规范 第1部分：安全通用检查工具</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3、GA/T 1389-2017信息安全技术 网络安全等级保护定级指南</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4、GA/T 1390.2-2017信息安全技术 网络安全等级保护基本要求 第2部分：云计算安全扩展要求</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5、GA/T 1390.3-2017信息安全技术 网络安全等级保护基本要求 第3部分：移动互联安全扩展要求</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6、GA/T 1390.5-2017信息安全技术 网络安全等级保护基本要求 第5部分：工业控制系统安全扩展要求</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7、GY/T 352-2021广播电视网络安全等级保护基本要求</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8、GY/T 337-2020广播电视网络安全等级保护定级指南</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9、JR/T 0060-2021证券期货业网络安全等级保护基本要求</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10、JR/T 0067-2021证券期货业网络安全等级保护测评要求</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11、JR/T 0071.1-2020金融行业网络安全等级保护实施指引 第1部分：基础和术语</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12、JR/T 0071.2-2020金融行业网络安全等级保护实施指引 第2部分：基本要求</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13、JR/T 0071.3-2020金融行业网络安全等级保护实施指引 第3部分：岗位能力要求和评价指引</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14、JR/T 0071.4-2020金融行业网络安全等级保护实施指引 第4部分：培训指引</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15、JR/T 0071.5-2020金融行业网络安全等级保护实施指引 第5部分：审计要求</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16、JR/T 0071.6-2020金融行业网络安全等级保护实施指引 第6部分：审计指引</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17、JR/T 0072-2020金融行业网络安全等级保护测评指南</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18、LY/T 2929-2017林业网络安全等级保护定级指南</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19、MH/T 0076-2020民用航空网络安全等级保护基本要求</w:t>
      </w:r>
    </w:p>
    <w:p>
      <w:pPr>
        <w:pStyle w:val="2"/>
        <w:snapToGrid w:val="0"/>
        <w:spacing w:before="0" w:beforeAutospacing="0" w:after="0" w:afterAutospacing="0" w:line="360" w:lineRule="auto"/>
        <w:rPr>
          <w:rFonts w:hint="eastAsia" w:ascii="仿宋" w:hAnsi="仿宋" w:cs="Times New Roman"/>
          <w:sz w:val="32"/>
          <w:szCs w:val="32"/>
        </w:rPr>
      </w:pPr>
      <w:bookmarkStart w:id="2" w:name="_Toc11416291"/>
    </w:p>
    <w:p>
      <w:pPr>
        <w:pStyle w:val="2"/>
        <w:snapToGrid w:val="0"/>
        <w:spacing w:before="0" w:beforeAutospacing="0" w:after="0" w:afterAutospacing="0" w:line="360" w:lineRule="auto"/>
        <w:rPr>
          <w:rFonts w:ascii="仿宋" w:hAnsi="仿宋" w:cs="Times New Roman"/>
          <w:sz w:val="32"/>
          <w:szCs w:val="32"/>
        </w:rPr>
      </w:pPr>
      <w:r>
        <w:rPr>
          <w:rFonts w:hint="eastAsia" w:ascii="仿宋" w:hAnsi="仿宋" w:cs="Times New Roman"/>
          <w:sz w:val="32"/>
          <w:szCs w:val="32"/>
        </w:rPr>
        <w:t>四</w:t>
      </w:r>
      <w:r>
        <w:rPr>
          <w:rFonts w:ascii="仿宋" w:hAnsi="仿宋" w:cs="Times New Roman"/>
          <w:sz w:val="32"/>
          <w:szCs w:val="32"/>
        </w:rPr>
        <w:t>、</w:t>
      </w:r>
      <w:bookmarkEnd w:id="2"/>
      <w:r>
        <w:rPr>
          <w:rFonts w:hint="eastAsia" w:ascii="仿宋" w:hAnsi="仿宋" w:cs="仿宋"/>
          <w:sz w:val="32"/>
          <w:szCs w:val="32"/>
        </w:rPr>
        <w:t>各章节</w:t>
      </w:r>
      <w:r>
        <w:rPr>
          <w:rFonts w:hint="eastAsia" w:ascii="仿宋" w:hAnsi="仿宋" w:cs="Times New Roman"/>
          <w:sz w:val="32"/>
          <w:szCs w:val="32"/>
        </w:rPr>
        <w:t>主要条款的说明</w:t>
      </w:r>
    </w:p>
    <w:p>
      <w:pPr>
        <w:snapToGrid w:val="0"/>
        <w:spacing w:line="360" w:lineRule="auto"/>
        <w:ind w:firstLine="600" w:firstLineChars="200"/>
        <w:rPr>
          <w:rFonts w:ascii="仿宋" w:hAnsi="仿宋" w:eastAsia="仿宋" w:cs="仿宋"/>
          <w:sz w:val="30"/>
          <w:szCs w:val="30"/>
        </w:rPr>
      </w:pPr>
      <w:r>
        <w:rPr>
          <w:rFonts w:hint="eastAsia" w:ascii="仿宋" w:hAnsi="仿宋" w:eastAsia="仿宋" w:cs="仿宋"/>
          <w:sz w:val="30"/>
          <w:szCs w:val="30"/>
        </w:rPr>
        <w:t>本标准包括</w:t>
      </w:r>
      <w:r>
        <w:rPr>
          <w:rFonts w:hint="eastAsia" w:ascii="仿宋" w:hAnsi="仿宋" w:eastAsia="仿宋" w:cs="仿宋"/>
          <w:sz w:val="30"/>
          <w:szCs w:val="30"/>
          <w:lang w:val="en-US" w:eastAsia="zh-CN"/>
        </w:rPr>
        <w:t>10</w:t>
      </w:r>
      <w:r>
        <w:rPr>
          <w:rFonts w:hint="eastAsia" w:ascii="仿宋" w:hAnsi="仿宋" w:eastAsia="仿宋" w:cs="仿宋"/>
          <w:sz w:val="30"/>
          <w:szCs w:val="30"/>
        </w:rPr>
        <w:t>个章节分别为范围、规范性引用文件、术语和定义、缩略语、网络安全等级保护、第一级安全要求、第二级安全要求、第三级安全要求、第四级安全要求、第五级安全要求。具体说明如下：</w:t>
      </w:r>
    </w:p>
    <w:p>
      <w:pPr>
        <w:snapToGrid w:val="0"/>
        <w:spacing w:line="360" w:lineRule="auto"/>
        <w:ind w:firstLine="602" w:firstLineChars="200"/>
        <w:rPr>
          <w:rFonts w:ascii="仿宋" w:hAnsi="仿宋" w:eastAsia="仿宋" w:cs="仿宋"/>
          <w:b/>
          <w:bCs/>
          <w:sz w:val="30"/>
          <w:szCs w:val="30"/>
        </w:rPr>
      </w:pPr>
      <w:r>
        <w:rPr>
          <w:rFonts w:hint="eastAsia" w:ascii="仿宋" w:hAnsi="仿宋" w:eastAsia="仿宋" w:cs="仿宋"/>
          <w:b/>
          <w:bCs/>
          <w:sz w:val="30"/>
          <w:szCs w:val="30"/>
        </w:rPr>
        <w:t>3 术语和定义</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rPr>
        <w:t xml:space="preserve">3.1 </w:t>
      </w:r>
      <w:r>
        <w:rPr>
          <w:rFonts w:hint="eastAsia" w:ascii="仿宋" w:hAnsi="仿宋" w:eastAsia="仿宋" w:cs="仿宋"/>
          <w:b/>
          <w:bCs/>
          <w:sz w:val="30"/>
          <w:szCs w:val="30"/>
        </w:rPr>
        <w:t>多功能智能杆</w:t>
      </w:r>
      <w:r>
        <w:rPr>
          <w:rFonts w:hint="eastAsia" w:ascii="仿宋" w:hAnsi="仿宋" w:eastAsia="仿宋" w:cs="仿宋"/>
          <w:sz w:val="30"/>
          <w:szCs w:val="30"/>
        </w:rPr>
        <w:t>。由杆体、综合箱和综合管道组成，与系统管理平台联网，挂载各类设施设备，提供城市管理与智慧化服务的城市公共设施。</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lang w:val="en-US" w:eastAsia="zh-CN"/>
        </w:rPr>
        <w:t>3.2</w:t>
      </w:r>
      <w:r>
        <w:rPr>
          <w:rFonts w:hint="eastAsia" w:ascii="仿宋" w:hAnsi="仿宋" w:eastAsia="仿宋" w:cs="仿宋"/>
          <w:b/>
          <w:bCs/>
          <w:sz w:val="30"/>
          <w:szCs w:val="30"/>
        </w:rPr>
        <w:t>多功能智能杆网络安全</w:t>
      </w:r>
      <w:r>
        <w:rPr>
          <w:rFonts w:hint="eastAsia" w:ascii="仿宋" w:hAnsi="仿宋" w:eastAsia="仿宋" w:cs="仿宋"/>
          <w:sz w:val="30"/>
          <w:szCs w:val="30"/>
        </w:rPr>
        <w:t>。通过采取必要措施，防范对多功能智能杆网络的攻击、侵入、干扰、破坏和非法使用以及意外事故，使网络处于稳定可靠运行的状态，以及保障网络数据的完整性、保密性、可用性的能力。</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lang w:val="en-US" w:eastAsia="zh-CN"/>
        </w:rPr>
        <w:t>3.3</w:t>
      </w:r>
      <w:r>
        <w:rPr>
          <w:rFonts w:hint="eastAsia" w:ascii="仿宋" w:hAnsi="仿宋" w:eastAsia="仿宋" w:cs="仿宋"/>
          <w:sz w:val="30"/>
          <w:szCs w:val="30"/>
        </w:rPr>
        <w:t>　</w:t>
      </w:r>
      <w:r>
        <w:rPr>
          <w:rFonts w:hint="eastAsia" w:ascii="仿宋" w:hAnsi="仿宋" w:eastAsia="仿宋" w:cs="仿宋"/>
          <w:b/>
          <w:bCs/>
          <w:sz w:val="30"/>
          <w:szCs w:val="30"/>
        </w:rPr>
        <w:t>安全保护能力</w:t>
      </w:r>
      <w:r>
        <w:rPr>
          <w:rFonts w:hint="eastAsia" w:ascii="仿宋" w:hAnsi="仿宋" w:eastAsia="仿宋" w:cs="仿宋"/>
          <w:sz w:val="30"/>
          <w:szCs w:val="30"/>
        </w:rPr>
        <w:t>。能够抵御威胁、发现安全事件以及在遭到损害后能够恢复先前状态等的程度。</w:t>
      </w:r>
    </w:p>
    <w:p>
      <w:pPr>
        <w:snapToGrid w:val="0"/>
        <w:spacing w:line="360" w:lineRule="auto"/>
        <w:ind w:firstLine="602" w:firstLineChars="200"/>
        <w:rPr>
          <w:rFonts w:hint="default" w:ascii="仿宋" w:hAnsi="仿宋" w:eastAsia="仿宋" w:cs="仿宋"/>
          <w:sz w:val="30"/>
          <w:szCs w:val="30"/>
          <w:lang w:val="en-US" w:eastAsia="zh-CN"/>
        </w:rPr>
      </w:pPr>
      <w:r>
        <w:rPr>
          <w:rFonts w:hint="eastAsia" w:ascii="仿宋" w:hAnsi="仿宋" w:eastAsia="仿宋" w:cs="仿宋"/>
          <w:b/>
          <w:bCs/>
          <w:sz w:val="30"/>
          <w:szCs w:val="30"/>
          <w:lang w:val="en-US" w:eastAsia="zh-CN"/>
        </w:rPr>
        <w:t>管理平台、平台服务商、平台服务客户、虚拟机监视器、宿主机 移动互联、移动终端、无线接入设备、无线接入网关、移动应用软件、等级保护对象、外部网络、公共数据、敏感数据、数据安全、挂载设备、边缘控制器、密码模块</w:t>
      </w:r>
      <w:r>
        <w:rPr>
          <w:rFonts w:hint="eastAsia" w:ascii="仿宋" w:hAnsi="仿宋" w:eastAsia="仿宋" w:cs="仿宋"/>
          <w:sz w:val="30"/>
          <w:szCs w:val="30"/>
          <w:lang w:val="en-US" w:eastAsia="zh-CN"/>
        </w:rPr>
        <w:t>等21个术语。</w:t>
      </w:r>
    </w:p>
    <w:p>
      <w:pPr>
        <w:snapToGrid w:val="0"/>
        <w:spacing w:line="360" w:lineRule="auto"/>
        <w:ind w:firstLine="602" w:firstLineChars="200"/>
        <w:rPr>
          <w:rFonts w:ascii="仿宋" w:hAnsi="仿宋" w:eastAsia="仿宋" w:cs="仿宋"/>
          <w:b/>
          <w:bCs/>
          <w:sz w:val="30"/>
          <w:szCs w:val="30"/>
        </w:rPr>
      </w:pPr>
      <w:r>
        <w:rPr>
          <w:rFonts w:hint="eastAsia" w:ascii="仿宋" w:hAnsi="仿宋" w:eastAsia="仿宋" w:cs="仿宋"/>
          <w:b/>
          <w:bCs/>
          <w:sz w:val="30"/>
          <w:szCs w:val="30"/>
        </w:rPr>
        <w:t>4 缩略语</w:t>
      </w:r>
    </w:p>
    <w:p>
      <w:pPr>
        <w:ind w:firstLine="600" w:firstLineChars="200"/>
        <w:rPr>
          <w:rFonts w:hint="eastAsia" w:ascii="仿宋" w:hAnsi="仿宋" w:eastAsia="仿宋" w:cs="仿宋"/>
          <w:sz w:val="30"/>
          <w:szCs w:val="30"/>
        </w:rPr>
      </w:pPr>
      <w:r>
        <w:rPr>
          <w:rFonts w:hint="eastAsia" w:ascii="仿宋" w:hAnsi="仿宋" w:eastAsia="仿宋" w:cs="仿宋"/>
          <w:sz w:val="30"/>
          <w:szCs w:val="30"/>
        </w:rPr>
        <w:t>列出了本标准中使用的AP</w:t>
      </w:r>
      <w:r>
        <w:rPr>
          <w:rFonts w:hint="eastAsia" w:ascii="仿宋" w:hAnsi="仿宋" w:eastAsia="仿宋" w:cs="仿宋"/>
          <w:sz w:val="30"/>
          <w:szCs w:val="30"/>
          <w:lang w:eastAsia="zh-CN"/>
        </w:rPr>
        <w:t>、</w:t>
      </w:r>
      <w:r>
        <w:rPr>
          <w:rFonts w:hint="eastAsia" w:ascii="仿宋" w:hAnsi="仿宋" w:eastAsia="仿宋" w:cs="仿宋"/>
          <w:sz w:val="30"/>
          <w:szCs w:val="30"/>
        </w:rPr>
        <w:t>DDoS</w:t>
      </w:r>
      <w:r>
        <w:rPr>
          <w:rFonts w:hint="eastAsia" w:ascii="仿宋" w:hAnsi="仿宋" w:eastAsia="仿宋" w:cs="仿宋"/>
          <w:sz w:val="30"/>
          <w:szCs w:val="30"/>
          <w:lang w:eastAsia="zh-CN"/>
        </w:rPr>
        <w:t>、</w:t>
      </w:r>
      <w:r>
        <w:rPr>
          <w:rFonts w:hint="eastAsia" w:ascii="仿宋" w:hAnsi="仿宋" w:eastAsia="仿宋" w:cs="仿宋"/>
          <w:sz w:val="30"/>
          <w:szCs w:val="30"/>
        </w:rPr>
        <w:t>HTTPS</w:t>
      </w:r>
      <w:r>
        <w:rPr>
          <w:rFonts w:hint="eastAsia" w:ascii="仿宋" w:hAnsi="仿宋" w:eastAsia="仿宋" w:cs="仿宋"/>
          <w:sz w:val="30"/>
          <w:szCs w:val="30"/>
          <w:lang w:eastAsia="zh-CN"/>
        </w:rPr>
        <w:t>、</w:t>
      </w:r>
      <w:r>
        <w:rPr>
          <w:rFonts w:hint="eastAsia" w:ascii="仿宋" w:hAnsi="仿宋" w:eastAsia="仿宋" w:cs="仿宋"/>
          <w:sz w:val="30"/>
          <w:szCs w:val="30"/>
        </w:rPr>
        <w:t>IaaS</w:t>
      </w:r>
      <w:r>
        <w:rPr>
          <w:rFonts w:hint="eastAsia" w:ascii="仿宋" w:hAnsi="仿宋" w:eastAsia="仿宋" w:cs="仿宋"/>
          <w:sz w:val="30"/>
          <w:szCs w:val="30"/>
          <w:lang w:eastAsia="zh-CN"/>
        </w:rPr>
        <w:t>、</w:t>
      </w:r>
      <w:r>
        <w:rPr>
          <w:rFonts w:hint="eastAsia" w:ascii="仿宋" w:hAnsi="仿宋" w:eastAsia="仿宋" w:cs="仿宋"/>
          <w:sz w:val="30"/>
          <w:szCs w:val="30"/>
        </w:rPr>
        <w:t>IP</w:t>
      </w:r>
      <w:r>
        <w:rPr>
          <w:rFonts w:hint="eastAsia" w:ascii="仿宋" w:hAnsi="仿宋" w:eastAsia="仿宋" w:cs="仿宋"/>
          <w:sz w:val="30"/>
          <w:szCs w:val="30"/>
          <w:lang w:eastAsia="zh-CN"/>
        </w:rPr>
        <w:t>、</w:t>
      </w:r>
      <w:r>
        <w:rPr>
          <w:rFonts w:hint="eastAsia" w:ascii="仿宋" w:hAnsi="仿宋" w:eastAsia="仿宋" w:cs="仿宋"/>
          <w:sz w:val="30"/>
          <w:szCs w:val="30"/>
        </w:rPr>
        <w:t>IT</w:t>
      </w:r>
      <w:r>
        <w:rPr>
          <w:rFonts w:hint="eastAsia" w:ascii="仿宋" w:hAnsi="仿宋" w:eastAsia="仿宋" w:cs="仿宋"/>
          <w:sz w:val="30"/>
          <w:szCs w:val="30"/>
          <w:lang w:eastAsia="zh-CN"/>
        </w:rPr>
        <w:t>、</w:t>
      </w:r>
      <w:r>
        <w:rPr>
          <w:rFonts w:hint="eastAsia" w:ascii="仿宋" w:hAnsi="仿宋" w:eastAsia="仿宋" w:cs="仿宋"/>
          <w:sz w:val="30"/>
          <w:szCs w:val="30"/>
        </w:rPr>
        <w:t>PaaS</w:t>
      </w:r>
      <w:r>
        <w:rPr>
          <w:rFonts w:hint="eastAsia" w:ascii="仿宋" w:hAnsi="仿宋" w:eastAsia="仿宋" w:cs="仿宋"/>
          <w:sz w:val="30"/>
          <w:szCs w:val="30"/>
          <w:lang w:eastAsia="zh-CN"/>
        </w:rPr>
        <w:t>、</w:t>
      </w:r>
      <w:r>
        <w:rPr>
          <w:rFonts w:hint="eastAsia" w:ascii="仿宋" w:hAnsi="仿宋" w:eastAsia="仿宋" w:cs="仿宋"/>
          <w:sz w:val="30"/>
          <w:szCs w:val="30"/>
        </w:rPr>
        <w:t>SaaS</w:t>
      </w:r>
      <w:r>
        <w:rPr>
          <w:rFonts w:hint="eastAsia" w:ascii="仿宋" w:hAnsi="仿宋" w:eastAsia="仿宋" w:cs="仿宋"/>
          <w:sz w:val="30"/>
          <w:szCs w:val="30"/>
          <w:lang w:eastAsia="zh-CN"/>
        </w:rPr>
        <w:t>、</w:t>
      </w:r>
      <w:r>
        <w:rPr>
          <w:rFonts w:hint="eastAsia" w:ascii="仿宋" w:hAnsi="仿宋" w:eastAsia="仿宋" w:cs="仿宋"/>
          <w:sz w:val="30"/>
          <w:szCs w:val="30"/>
        </w:rPr>
        <w:t>SSID</w:t>
      </w:r>
      <w:r>
        <w:rPr>
          <w:rFonts w:hint="eastAsia" w:ascii="仿宋" w:hAnsi="仿宋" w:eastAsia="仿宋" w:cs="仿宋"/>
          <w:sz w:val="30"/>
          <w:szCs w:val="30"/>
          <w:lang w:eastAsia="zh-CN"/>
        </w:rPr>
        <w:t>、</w:t>
      </w:r>
      <w:r>
        <w:rPr>
          <w:rFonts w:hint="eastAsia" w:ascii="仿宋" w:hAnsi="仿宋" w:eastAsia="仿宋" w:cs="仿宋"/>
          <w:sz w:val="30"/>
          <w:szCs w:val="30"/>
        </w:rPr>
        <w:t>SSH</w:t>
      </w:r>
      <w:r>
        <w:rPr>
          <w:rFonts w:hint="eastAsia" w:ascii="仿宋" w:hAnsi="仿宋" w:eastAsia="仿宋" w:cs="仿宋"/>
          <w:sz w:val="30"/>
          <w:szCs w:val="30"/>
          <w:lang w:eastAsia="zh-CN"/>
        </w:rPr>
        <w:t>、</w:t>
      </w:r>
      <w:r>
        <w:rPr>
          <w:rFonts w:hint="eastAsia" w:ascii="仿宋" w:hAnsi="仿宋" w:eastAsia="仿宋" w:cs="仿宋"/>
          <w:sz w:val="30"/>
          <w:szCs w:val="30"/>
        </w:rPr>
        <w:t>TCB</w:t>
      </w:r>
      <w:r>
        <w:rPr>
          <w:rFonts w:hint="eastAsia" w:ascii="仿宋" w:hAnsi="仿宋" w:eastAsia="仿宋" w:cs="仿宋"/>
          <w:sz w:val="30"/>
          <w:szCs w:val="30"/>
          <w:lang w:eastAsia="zh-CN"/>
        </w:rPr>
        <w:t>、</w:t>
      </w:r>
      <w:r>
        <w:rPr>
          <w:rFonts w:hint="eastAsia" w:ascii="仿宋" w:hAnsi="仿宋" w:eastAsia="仿宋" w:cs="仿宋"/>
          <w:sz w:val="30"/>
          <w:szCs w:val="30"/>
        </w:rPr>
        <w:t>VPN</w:t>
      </w:r>
      <w:r>
        <w:rPr>
          <w:rFonts w:hint="eastAsia" w:ascii="仿宋" w:hAnsi="仿宋" w:eastAsia="仿宋" w:cs="仿宋"/>
          <w:sz w:val="30"/>
          <w:szCs w:val="30"/>
          <w:lang w:eastAsia="zh-CN"/>
        </w:rPr>
        <w:t>、</w:t>
      </w:r>
      <w:r>
        <w:rPr>
          <w:rFonts w:hint="eastAsia" w:ascii="仿宋" w:hAnsi="仿宋" w:eastAsia="仿宋" w:cs="仿宋"/>
          <w:sz w:val="30"/>
          <w:szCs w:val="30"/>
        </w:rPr>
        <w:t>WEP</w:t>
      </w:r>
      <w:r>
        <w:rPr>
          <w:rFonts w:hint="eastAsia" w:ascii="仿宋" w:hAnsi="仿宋" w:eastAsia="仿宋" w:cs="仿宋"/>
          <w:sz w:val="30"/>
          <w:szCs w:val="30"/>
          <w:lang w:eastAsia="zh-CN"/>
        </w:rPr>
        <w:t>、</w:t>
      </w:r>
      <w:r>
        <w:rPr>
          <w:rFonts w:hint="eastAsia" w:ascii="仿宋" w:hAnsi="仿宋" w:eastAsia="仿宋" w:cs="仿宋"/>
          <w:sz w:val="30"/>
          <w:szCs w:val="30"/>
        </w:rPr>
        <w:t>WPS</w:t>
      </w:r>
      <w:r>
        <w:rPr>
          <w:rFonts w:hint="eastAsia" w:ascii="仿宋" w:hAnsi="仿宋" w:eastAsia="仿宋" w:cs="仿宋"/>
          <w:sz w:val="30"/>
          <w:szCs w:val="30"/>
          <w:lang w:val="en-US" w:eastAsia="zh-CN"/>
        </w:rPr>
        <w:t>共14</w:t>
      </w:r>
      <w:r>
        <w:rPr>
          <w:rFonts w:hint="eastAsia" w:ascii="仿宋" w:hAnsi="仿宋" w:eastAsia="仿宋" w:cs="仿宋"/>
          <w:sz w:val="30"/>
          <w:szCs w:val="30"/>
        </w:rPr>
        <w:t>项缩略语。</w:t>
      </w:r>
    </w:p>
    <w:p>
      <w:pPr>
        <w:snapToGrid w:val="0"/>
        <w:spacing w:line="360" w:lineRule="auto"/>
        <w:ind w:firstLine="602" w:firstLineChars="200"/>
        <w:rPr>
          <w:rFonts w:hint="eastAsia" w:ascii="仿宋" w:hAnsi="仿宋" w:eastAsia="仿宋" w:cs="仿宋"/>
          <w:b/>
          <w:bCs/>
          <w:sz w:val="30"/>
          <w:szCs w:val="30"/>
        </w:rPr>
      </w:pPr>
      <w:r>
        <w:rPr>
          <w:rFonts w:hint="eastAsia" w:ascii="仿宋" w:hAnsi="仿宋" w:eastAsia="仿宋" w:cs="仿宋"/>
          <w:b/>
          <w:bCs/>
          <w:sz w:val="30"/>
          <w:szCs w:val="30"/>
        </w:rPr>
        <w:t>5</w:t>
      </w:r>
      <w:r>
        <w:rPr>
          <w:rFonts w:hint="eastAsia" w:ascii="仿宋" w:hAnsi="仿宋" w:eastAsia="仿宋" w:cs="仿宋"/>
          <w:b/>
          <w:bCs/>
          <w:sz w:val="30"/>
          <w:szCs w:val="30"/>
          <w:lang w:val="en-US" w:eastAsia="zh-CN"/>
        </w:rPr>
        <w:t xml:space="preserve"> </w:t>
      </w:r>
      <w:r>
        <w:rPr>
          <w:rFonts w:hint="eastAsia" w:ascii="仿宋" w:hAnsi="仿宋" w:eastAsia="仿宋" w:cs="仿宋"/>
          <w:b/>
          <w:bCs/>
          <w:sz w:val="30"/>
          <w:szCs w:val="30"/>
        </w:rPr>
        <w:t>网络安全等级保护</w:t>
      </w:r>
    </w:p>
    <w:p>
      <w:pPr>
        <w:snapToGrid w:val="0"/>
        <w:spacing w:line="360" w:lineRule="auto"/>
        <w:ind w:firstLine="600" w:firstLineChars="200"/>
        <w:rPr>
          <w:rFonts w:ascii="仿宋" w:hAnsi="仿宋" w:eastAsia="仿宋" w:cs="仿宋"/>
          <w:sz w:val="30"/>
          <w:szCs w:val="30"/>
        </w:rPr>
      </w:pPr>
      <w:r>
        <w:rPr>
          <w:rFonts w:hint="eastAsia" w:ascii="仿宋" w:hAnsi="仿宋" w:eastAsia="仿宋" w:cs="仿宋"/>
          <w:sz w:val="30"/>
          <w:szCs w:val="30"/>
        </w:rPr>
        <w:t>5.1 明确了等级保护对象定级。</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rPr>
        <w:t xml:space="preserve">5.2 </w:t>
      </w:r>
      <w:r>
        <w:rPr>
          <w:rFonts w:hint="eastAsia" w:ascii="仿宋" w:hAnsi="仿宋" w:eastAsia="仿宋" w:cs="仿宋"/>
          <w:sz w:val="30"/>
          <w:szCs w:val="30"/>
          <w:lang w:val="en-US" w:eastAsia="zh-CN"/>
        </w:rPr>
        <w:t>列举不同等级的安全保护能力。</w:t>
      </w:r>
    </w:p>
    <w:p>
      <w:pPr>
        <w:snapToGrid w:val="0"/>
        <w:spacing w:line="360" w:lineRule="auto"/>
        <w:ind w:firstLine="600" w:firstLineChars="200"/>
        <w:rPr>
          <w:rFonts w:hint="default" w:ascii="仿宋" w:hAnsi="仿宋" w:eastAsia="仿宋" w:cs="仿宋"/>
          <w:sz w:val="30"/>
          <w:szCs w:val="30"/>
          <w:lang w:val="en-US" w:eastAsia="zh-CN"/>
        </w:rPr>
      </w:pPr>
      <w:r>
        <w:rPr>
          <w:rFonts w:hint="eastAsia" w:ascii="仿宋" w:hAnsi="仿宋" w:eastAsia="仿宋" w:cs="仿宋"/>
          <w:sz w:val="30"/>
          <w:szCs w:val="30"/>
          <w:lang w:val="en-US" w:eastAsia="zh-CN"/>
        </w:rPr>
        <w:t>5.3 提出安全通用要求。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5.4　提出安全扩展要求。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5.5　提出密码模块安全要求。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5.6　提出安全管理要求。</w:t>
      </w:r>
    </w:p>
    <w:p>
      <w:pPr>
        <w:snapToGrid w:val="0"/>
        <w:spacing w:line="360" w:lineRule="auto"/>
        <w:ind w:firstLine="602" w:firstLineChars="200"/>
        <w:rPr>
          <w:rFonts w:hint="eastAsia" w:ascii="仿宋" w:hAnsi="仿宋" w:eastAsia="仿宋" w:cs="仿宋"/>
          <w:b/>
          <w:bCs/>
          <w:sz w:val="30"/>
          <w:szCs w:val="30"/>
        </w:rPr>
      </w:pPr>
      <w:r>
        <w:rPr>
          <w:rFonts w:hint="eastAsia" w:ascii="仿宋" w:hAnsi="仿宋" w:eastAsia="仿宋" w:cs="仿宋"/>
          <w:b/>
          <w:bCs/>
          <w:sz w:val="30"/>
          <w:szCs w:val="30"/>
        </w:rPr>
        <w:t>6　第一级安全要求</w:t>
      </w:r>
    </w:p>
    <w:p>
      <w:pPr>
        <w:snapToGrid w:val="0"/>
        <w:spacing w:line="360" w:lineRule="auto"/>
        <w:ind w:firstLine="600" w:firstLineChars="200"/>
        <w:rPr>
          <w:rFonts w:hint="default" w:ascii="仿宋" w:hAnsi="仿宋" w:eastAsia="仿宋" w:cs="仿宋"/>
          <w:sz w:val="30"/>
          <w:szCs w:val="30"/>
          <w:lang w:val="en-US" w:eastAsia="zh-CN"/>
        </w:rPr>
      </w:pPr>
      <w:r>
        <w:rPr>
          <w:rFonts w:hint="default" w:ascii="仿宋" w:hAnsi="仿宋" w:eastAsia="仿宋" w:cs="仿宋"/>
          <w:sz w:val="30"/>
          <w:szCs w:val="30"/>
          <w:lang w:val="en-US" w:eastAsia="zh-CN"/>
        </w:rPr>
        <w:t>目前的等级保护对象（信息系统）的安全级别分为五个等级：1 级为最低级别，5 级为最高级别（5 级为预留级别，市面上已定级的系统最高为 4 级）。</w:t>
      </w:r>
    </w:p>
    <w:p>
      <w:pPr>
        <w:snapToGrid w:val="0"/>
        <w:spacing w:line="360" w:lineRule="auto"/>
        <w:ind w:firstLine="600" w:firstLineChars="200"/>
        <w:rPr>
          <w:rFonts w:hint="default" w:ascii="仿宋" w:hAnsi="仿宋" w:eastAsia="仿宋" w:cs="仿宋"/>
          <w:sz w:val="30"/>
          <w:szCs w:val="30"/>
          <w:lang w:val="en-US" w:eastAsia="zh-CN"/>
        </w:rPr>
      </w:pPr>
      <w:r>
        <w:rPr>
          <w:rFonts w:hint="default" w:ascii="仿宋" w:hAnsi="仿宋" w:eastAsia="仿宋" w:cs="仿宋"/>
          <w:sz w:val="30"/>
          <w:szCs w:val="30"/>
          <w:lang w:val="en-US" w:eastAsia="zh-CN"/>
        </w:rPr>
        <w:t>系统级别的确定需要根据系统的重要性进行决定。如果定高了，有可能造成投资的浪费；定低了则有可能造成重要信息系统得不到应有的保护，应该谨慎定级。</w:t>
      </w:r>
    </w:p>
    <w:p>
      <w:pPr>
        <w:snapToGrid w:val="0"/>
        <w:spacing w:line="360" w:lineRule="auto"/>
        <w:ind w:firstLine="600" w:firstLineChars="200"/>
        <w:rPr>
          <w:rFonts w:hint="default" w:ascii="仿宋" w:hAnsi="仿宋" w:eastAsia="仿宋" w:cs="仿宋"/>
          <w:sz w:val="30"/>
          <w:szCs w:val="30"/>
          <w:lang w:val="en-US" w:eastAsia="zh-CN"/>
        </w:rPr>
      </w:pPr>
      <w:r>
        <w:rPr>
          <w:rFonts w:hint="default" w:ascii="仿宋" w:hAnsi="仿宋" w:eastAsia="仿宋" w:cs="仿宋"/>
          <w:sz w:val="30"/>
          <w:szCs w:val="30"/>
          <w:lang w:val="en-US" w:eastAsia="zh-CN"/>
        </w:rPr>
        <w:t>一级系统简单，不需要备案，影响程度很小，自主进行保护即可，</w:t>
      </w:r>
    </w:p>
    <w:p>
      <w:pPr>
        <w:snapToGrid w:val="0"/>
        <w:spacing w:line="360" w:lineRule="auto"/>
        <w:ind w:firstLine="600" w:firstLineChars="200"/>
        <w:rPr>
          <w:rFonts w:hint="default" w:ascii="仿宋" w:hAnsi="仿宋" w:eastAsia="仿宋" w:cs="仿宋"/>
          <w:sz w:val="30"/>
          <w:szCs w:val="30"/>
          <w:lang w:val="en-US" w:eastAsia="zh-CN"/>
        </w:rPr>
      </w:pPr>
      <w:r>
        <w:rPr>
          <w:rFonts w:hint="default" w:ascii="仿宋" w:hAnsi="仿宋" w:eastAsia="仿宋" w:cs="仿宋"/>
          <w:sz w:val="30"/>
          <w:szCs w:val="30"/>
          <w:lang w:val="en-US" w:eastAsia="zh-CN"/>
        </w:rPr>
        <w:t>定 2 级以上就需要进行等级测评。</w:t>
      </w:r>
    </w:p>
    <w:p>
      <w:pPr>
        <w:snapToGrid w:val="0"/>
        <w:spacing w:line="360" w:lineRule="auto"/>
        <w:ind w:firstLine="600" w:firstLineChars="200"/>
        <w:rPr>
          <w:rFonts w:hint="default" w:ascii="仿宋" w:hAnsi="仿宋" w:eastAsia="仿宋" w:cs="仿宋"/>
          <w:sz w:val="30"/>
          <w:szCs w:val="30"/>
          <w:lang w:val="en-US" w:eastAsia="zh-CN"/>
        </w:rPr>
      </w:pPr>
      <w:r>
        <w:rPr>
          <w:rFonts w:hint="default" w:ascii="仿宋" w:hAnsi="仿宋" w:eastAsia="仿宋" w:cs="仿宋"/>
          <w:sz w:val="30"/>
          <w:szCs w:val="30"/>
          <w:lang w:val="en-US" w:eastAsia="zh-CN"/>
        </w:rPr>
        <w:t>四级系统量级较大，比如支付宝、银行总行系统、国家电网系统。</w:t>
      </w:r>
    </w:p>
    <w:p>
      <w:pPr>
        <w:snapToGrid w:val="0"/>
        <w:spacing w:line="360" w:lineRule="auto"/>
        <w:ind w:firstLine="600" w:firstLineChars="200"/>
        <w:rPr>
          <w:rFonts w:hint="default" w:ascii="仿宋" w:hAnsi="仿宋" w:eastAsia="仿宋" w:cs="仿宋"/>
          <w:sz w:val="30"/>
          <w:szCs w:val="30"/>
          <w:lang w:val="en-US" w:eastAsia="zh-CN"/>
        </w:rPr>
      </w:pPr>
      <w:r>
        <w:rPr>
          <w:rFonts w:hint="default" w:ascii="仿宋" w:hAnsi="仿宋" w:eastAsia="仿宋" w:cs="仿宋"/>
          <w:sz w:val="30"/>
          <w:szCs w:val="30"/>
          <w:lang w:val="en-US" w:eastAsia="zh-CN"/>
        </w:rPr>
        <w:t>五级系统属国家级、国防类的系统，比如核电站、军用通信系统。</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6.1  安全通用要求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6.2  管理平台安全要求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6.3  移动互联安全要求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6.4  挂载设备安全要求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6.5  公共数据安全要求</w:t>
      </w:r>
    </w:p>
    <w:p>
      <w:pPr>
        <w:snapToGrid w:val="0"/>
        <w:spacing w:line="360" w:lineRule="auto"/>
        <w:ind w:firstLine="600" w:firstLineChars="200"/>
        <w:rPr>
          <w:rFonts w:hint="default" w:ascii="仿宋" w:hAnsi="仿宋" w:eastAsia="仿宋" w:cs="仿宋"/>
          <w:sz w:val="30"/>
          <w:szCs w:val="30"/>
          <w:lang w:val="en-US" w:eastAsia="zh-CN"/>
        </w:rPr>
      </w:pPr>
      <w:r>
        <w:rPr>
          <w:rFonts w:hint="default" w:ascii="仿宋" w:hAnsi="仿宋" w:eastAsia="仿宋" w:cs="仿宋"/>
          <w:sz w:val="30"/>
          <w:szCs w:val="30"/>
          <w:lang w:val="en-US" w:eastAsia="zh-CN"/>
        </w:rPr>
        <w:t>一级系统简单，不需要备案，影响程度很小，自主进行保护即可，</w:t>
      </w:r>
    </w:p>
    <w:p>
      <w:pPr>
        <w:snapToGrid w:val="0"/>
        <w:spacing w:line="360" w:lineRule="auto"/>
        <w:ind w:firstLine="602" w:firstLineChars="200"/>
        <w:rPr>
          <w:rFonts w:hint="eastAsia" w:ascii="仿宋" w:hAnsi="仿宋" w:eastAsia="仿宋" w:cs="仿宋"/>
          <w:b/>
          <w:bCs/>
          <w:sz w:val="30"/>
          <w:szCs w:val="30"/>
        </w:rPr>
      </w:pPr>
      <w:r>
        <w:rPr>
          <w:rFonts w:hint="eastAsia" w:ascii="仿宋" w:hAnsi="仿宋" w:eastAsia="仿宋" w:cs="仿宋"/>
          <w:b/>
          <w:bCs/>
          <w:sz w:val="30"/>
          <w:szCs w:val="30"/>
        </w:rPr>
        <w:t>7 第</w:t>
      </w:r>
      <w:r>
        <w:rPr>
          <w:rFonts w:hint="eastAsia" w:ascii="仿宋" w:hAnsi="仿宋" w:eastAsia="仿宋" w:cs="仿宋"/>
          <w:b/>
          <w:bCs/>
          <w:sz w:val="30"/>
          <w:szCs w:val="30"/>
          <w:lang w:val="en-US" w:eastAsia="zh-CN"/>
        </w:rPr>
        <w:t>二</w:t>
      </w:r>
      <w:r>
        <w:rPr>
          <w:rFonts w:hint="eastAsia" w:ascii="仿宋" w:hAnsi="仿宋" w:eastAsia="仿宋" w:cs="仿宋"/>
          <w:b/>
          <w:bCs/>
          <w:sz w:val="30"/>
          <w:szCs w:val="30"/>
        </w:rPr>
        <w:t>级安全要求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7.1  安全通用要求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7.2  管理平台安全要求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7.3  移动互联安全要求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7.4  挂载设备安全要求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7.5  公共数据安全要求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章节同6.1、6.2、6.3、6.4和6.5但具体条款内容，按照等级要求不同，第二级安全要求需要</w:t>
      </w:r>
      <w:r>
        <w:rPr>
          <w:rFonts w:hint="default" w:ascii="仿宋" w:hAnsi="仿宋" w:eastAsia="仿宋" w:cs="仿宋"/>
          <w:sz w:val="30"/>
          <w:szCs w:val="30"/>
          <w:lang w:val="en-US" w:eastAsia="zh-CN"/>
        </w:rPr>
        <w:t>进行等级测评</w:t>
      </w:r>
      <w:r>
        <w:rPr>
          <w:rFonts w:hint="eastAsia" w:ascii="仿宋" w:hAnsi="仿宋" w:eastAsia="仿宋" w:cs="仿宋"/>
          <w:sz w:val="30"/>
          <w:szCs w:val="30"/>
          <w:lang w:val="en-US" w:eastAsia="zh-CN"/>
        </w:rPr>
        <w:t>。</w:t>
      </w:r>
    </w:p>
    <w:p>
      <w:pPr>
        <w:snapToGrid w:val="0"/>
        <w:spacing w:line="360" w:lineRule="auto"/>
        <w:ind w:firstLine="602" w:firstLineChars="200"/>
        <w:rPr>
          <w:rFonts w:hint="eastAsia" w:ascii="仿宋" w:hAnsi="仿宋" w:eastAsia="仿宋" w:cs="仿宋"/>
          <w:b/>
          <w:bCs/>
          <w:sz w:val="30"/>
          <w:szCs w:val="30"/>
        </w:rPr>
      </w:pPr>
      <w:r>
        <w:rPr>
          <w:rFonts w:hint="eastAsia" w:ascii="仿宋" w:hAnsi="仿宋" w:eastAsia="仿宋" w:cs="仿宋"/>
          <w:b/>
          <w:bCs/>
          <w:sz w:val="30"/>
          <w:szCs w:val="30"/>
          <w:lang w:val="en-US" w:eastAsia="zh-CN"/>
        </w:rPr>
        <w:t xml:space="preserve">8 </w:t>
      </w:r>
      <w:r>
        <w:rPr>
          <w:rFonts w:hint="eastAsia" w:ascii="仿宋" w:hAnsi="仿宋" w:eastAsia="仿宋" w:cs="仿宋"/>
          <w:b/>
          <w:bCs/>
          <w:sz w:val="30"/>
          <w:szCs w:val="30"/>
        </w:rPr>
        <w:t>第</w:t>
      </w:r>
      <w:r>
        <w:rPr>
          <w:rFonts w:hint="eastAsia" w:ascii="仿宋" w:hAnsi="仿宋" w:eastAsia="仿宋" w:cs="仿宋"/>
          <w:b/>
          <w:bCs/>
          <w:sz w:val="30"/>
          <w:szCs w:val="30"/>
          <w:lang w:val="en-US" w:eastAsia="zh-CN"/>
        </w:rPr>
        <w:t>三</w:t>
      </w:r>
      <w:r>
        <w:rPr>
          <w:rFonts w:hint="eastAsia" w:ascii="仿宋" w:hAnsi="仿宋" w:eastAsia="仿宋" w:cs="仿宋"/>
          <w:b/>
          <w:bCs/>
          <w:sz w:val="30"/>
          <w:szCs w:val="30"/>
        </w:rPr>
        <w:t>级安全要求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8.1  安全通用要求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8.2  管理平台安全要求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8.3  移动互联安全要求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8.4  挂载设备安全要求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8.5  公共数据安全要求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章节同6.1、6.2、6.3、6.4和6.5但具体内容要求不同，第三级安全要求需要</w:t>
      </w:r>
      <w:r>
        <w:rPr>
          <w:rFonts w:hint="default" w:ascii="仿宋" w:hAnsi="仿宋" w:eastAsia="仿宋" w:cs="仿宋"/>
          <w:sz w:val="30"/>
          <w:szCs w:val="30"/>
          <w:lang w:val="en-US" w:eastAsia="zh-CN"/>
        </w:rPr>
        <w:t>进行等级测评</w:t>
      </w:r>
      <w:r>
        <w:rPr>
          <w:rFonts w:hint="eastAsia" w:ascii="仿宋" w:hAnsi="仿宋" w:eastAsia="仿宋" w:cs="仿宋"/>
          <w:sz w:val="30"/>
          <w:szCs w:val="30"/>
          <w:lang w:val="en-US" w:eastAsia="zh-CN"/>
        </w:rPr>
        <w:t>。</w:t>
      </w:r>
    </w:p>
    <w:p>
      <w:pPr>
        <w:snapToGrid w:val="0"/>
        <w:spacing w:line="360" w:lineRule="auto"/>
        <w:ind w:firstLine="602" w:firstLineChars="200"/>
        <w:rPr>
          <w:rFonts w:hint="eastAsia" w:ascii="仿宋" w:hAnsi="仿宋" w:eastAsia="仿宋" w:cs="仿宋"/>
          <w:b/>
          <w:bCs/>
          <w:sz w:val="30"/>
          <w:szCs w:val="30"/>
        </w:rPr>
      </w:pPr>
      <w:r>
        <w:rPr>
          <w:rFonts w:hint="eastAsia" w:ascii="仿宋" w:hAnsi="仿宋" w:eastAsia="仿宋" w:cs="仿宋"/>
          <w:b/>
          <w:bCs/>
          <w:sz w:val="30"/>
          <w:szCs w:val="30"/>
          <w:lang w:val="en-US" w:eastAsia="zh-CN"/>
        </w:rPr>
        <w:t xml:space="preserve">9 </w:t>
      </w:r>
      <w:r>
        <w:rPr>
          <w:rFonts w:hint="eastAsia" w:ascii="仿宋" w:hAnsi="仿宋" w:eastAsia="仿宋" w:cs="仿宋"/>
          <w:b/>
          <w:bCs/>
          <w:sz w:val="30"/>
          <w:szCs w:val="30"/>
        </w:rPr>
        <w:t>第</w:t>
      </w:r>
      <w:r>
        <w:rPr>
          <w:rFonts w:hint="eastAsia" w:ascii="仿宋" w:hAnsi="仿宋" w:eastAsia="仿宋" w:cs="仿宋"/>
          <w:b/>
          <w:bCs/>
          <w:sz w:val="30"/>
          <w:szCs w:val="30"/>
          <w:lang w:val="en-US" w:eastAsia="zh-CN"/>
        </w:rPr>
        <w:t>四</w:t>
      </w:r>
      <w:r>
        <w:rPr>
          <w:rFonts w:hint="eastAsia" w:ascii="仿宋" w:hAnsi="仿宋" w:eastAsia="仿宋" w:cs="仿宋"/>
          <w:b/>
          <w:bCs/>
          <w:sz w:val="30"/>
          <w:szCs w:val="30"/>
        </w:rPr>
        <w:t>级安全要求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9.1  安全通用要求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9.2  管理平台安全要求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9.3  移动互联安全要求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9.4  挂载设备安全要求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9.5  公共数据安全要求</w:t>
      </w:r>
    </w:p>
    <w:p>
      <w:pPr>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章节同6.1、6.2、6.3、6.4和6.5但具体内容要求不同。</w:t>
      </w:r>
    </w:p>
    <w:p>
      <w:pPr>
        <w:snapToGrid w:val="0"/>
        <w:spacing w:line="360" w:lineRule="auto"/>
        <w:ind w:firstLine="600" w:firstLineChars="200"/>
        <w:rPr>
          <w:rFonts w:hint="default" w:ascii="仿宋" w:hAnsi="仿宋" w:eastAsia="仿宋" w:cs="仿宋"/>
          <w:sz w:val="30"/>
          <w:szCs w:val="30"/>
          <w:lang w:val="en-US" w:eastAsia="zh-CN"/>
        </w:rPr>
      </w:pPr>
      <w:r>
        <w:rPr>
          <w:rFonts w:hint="eastAsia" w:ascii="仿宋" w:hAnsi="仿宋" w:eastAsia="仿宋" w:cs="仿宋"/>
          <w:sz w:val="30"/>
          <w:szCs w:val="30"/>
          <w:lang w:val="en-US" w:eastAsia="zh-CN"/>
        </w:rPr>
        <w:t>第四级安全要求需要</w:t>
      </w:r>
      <w:r>
        <w:rPr>
          <w:rFonts w:hint="default" w:ascii="仿宋" w:hAnsi="仿宋" w:eastAsia="仿宋" w:cs="仿宋"/>
          <w:sz w:val="30"/>
          <w:szCs w:val="30"/>
          <w:lang w:val="en-US" w:eastAsia="zh-CN"/>
        </w:rPr>
        <w:t>进行等级测评</w:t>
      </w:r>
      <w:r>
        <w:rPr>
          <w:rFonts w:hint="eastAsia" w:ascii="仿宋" w:hAnsi="仿宋" w:eastAsia="仿宋" w:cs="仿宋"/>
          <w:sz w:val="30"/>
          <w:szCs w:val="30"/>
          <w:lang w:val="en-US" w:eastAsia="zh-CN"/>
        </w:rPr>
        <w:t>，且</w:t>
      </w:r>
      <w:r>
        <w:rPr>
          <w:rFonts w:hint="default" w:ascii="仿宋" w:hAnsi="仿宋" w:eastAsia="仿宋" w:cs="仿宋"/>
          <w:sz w:val="30"/>
          <w:szCs w:val="30"/>
          <w:lang w:val="en-US" w:eastAsia="zh-CN"/>
        </w:rPr>
        <w:t>系统量级较大，比如支付宝、银行总行系统、国家电网系统。</w:t>
      </w:r>
    </w:p>
    <w:p>
      <w:pPr>
        <w:snapToGrid w:val="0"/>
        <w:spacing w:line="360" w:lineRule="auto"/>
        <w:ind w:firstLine="602" w:firstLineChars="200"/>
        <w:rPr>
          <w:rFonts w:hint="eastAsia" w:ascii="仿宋" w:hAnsi="仿宋" w:eastAsia="仿宋" w:cs="仿宋"/>
          <w:b/>
          <w:bCs/>
          <w:sz w:val="30"/>
          <w:szCs w:val="30"/>
        </w:rPr>
      </w:pPr>
      <w:r>
        <w:rPr>
          <w:rFonts w:hint="eastAsia" w:ascii="仿宋" w:hAnsi="仿宋" w:eastAsia="仿宋" w:cs="仿宋"/>
          <w:b/>
          <w:bCs/>
          <w:sz w:val="30"/>
          <w:szCs w:val="30"/>
          <w:lang w:val="en-US" w:eastAsia="zh-CN"/>
        </w:rPr>
        <w:t xml:space="preserve">10 </w:t>
      </w:r>
      <w:r>
        <w:rPr>
          <w:rFonts w:hint="eastAsia" w:ascii="仿宋" w:hAnsi="仿宋" w:eastAsia="仿宋" w:cs="仿宋"/>
          <w:b/>
          <w:bCs/>
          <w:sz w:val="30"/>
          <w:szCs w:val="30"/>
        </w:rPr>
        <w:t>第</w:t>
      </w:r>
      <w:r>
        <w:rPr>
          <w:rFonts w:hint="eastAsia" w:ascii="仿宋" w:hAnsi="仿宋" w:eastAsia="仿宋" w:cs="仿宋"/>
          <w:b/>
          <w:bCs/>
          <w:sz w:val="30"/>
          <w:szCs w:val="30"/>
          <w:lang w:val="en-US" w:eastAsia="zh-CN"/>
        </w:rPr>
        <w:t>五</w:t>
      </w:r>
      <w:r>
        <w:rPr>
          <w:rFonts w:hint="eastAsia" w:ascii="仿宋" w:hAnsi="仿宋" w:eastAsia="仿宋" w:cs="仿宋"/>
          <w:b/>
          <w:bCs/>
          <w:sz w:val="30"/>
          <w:szCs w:val="30"/>
        </w:rPr>
        <w:t>级安全要求</w:t>
      </w:r>
    </w:p>
    <w:p>
      <w:pPr>
        <w:snapToGrid w:val="0"/>
        <w:spacing w:line="360" w:lineRule="auto"/>
        <w:ind w:firstLine="600" w:firstLineChars="200"/>
        <w:rPr>
          <w:rFonts w:hint="default" w:ascii="仿宋" w:hAnsi="仿宋" w:eastAsia="仿宋" w:cs="仿宋"/>
          <w:b w:val="0"/>
          <w:bCs w:val="0"/>
          <w:sz w:val="30"/>
          <w:szCs w:val="30"/>
          <w:lang w:val="en-US" w:eastAsia="zh-CN"/>
        </w:rPr>
      </w:pPr>
      <w:bookmarkStart w:id="3" w:name="_Toc96636772"/>
      <w:r>
        <w:rPr>
          <w:rFonts w:hint="eastAsia" w:ascii="仿宋" w:hAnsi="仿宋" w:eastAsia="仿宋" w:cs="仿宋"/>
          <w:b w:val="0"/>
          <w:bCs w:val="0"/>
          <w:sz w:val="30"/>
          <w:szCs w:val="30"/>
          <w:lang w:val="en-US" w:eastAsia="zh-CN"/>
        </w:rPr>
        <w:t>第五级等级保护对象是非常重要的监督管理对象，对其有特殊的管理模式和安全要求，所以不在本文件中进行描述。</w:t>
      </w:r>
      <w:bookmarkEnd w:id="3"/>
    </w:p>
    <w:p>
      <w:pPr>
        <w:snapToGrid w:val="0"/>
        <w:spacing w:line="360" w:lineRule="auto"/>
        <w:ind w:firstLine="600" w:firstLineChars="200"/>
        <w:rPr>
          <w:rFonts w:hint="default" w:ascii="仿宋" w:hAnsi="仿宋" w:eastAsia="仿宋" w:cs="仿宋"/>
          <w:b w:val="0"/>
          <w:bCs w:val="0"/>
          <w:sz w:val="30"/>
          <w:szCs w:val="30"/>
          <w:lang w:val="en-US" w:eastAsia="zh-CN"/>
        </w:rPr>
      </w:pPr>
      <w:r>
        <w:rPr>
          <w:rFonts w:hint="default" w:ascii="仿宋" w:hAnsi="仿宋" w:eastAsia="仿宋" w:cs="仿宋"/>
          <w:b w:val="0"/>
          <w:bCs w:val="0"/>
          <w:sz w:val="30"/>
          <w:szCs w:val="30"/>
          <w:lang w:val="en-US" w:eastAsia="zh-CN"/>
        </w:rPr>
        <w:t>附录A（规范性）  安全要求的选择和使用</w:t>
      </w:r>
    </w:p>
    <w:p>
      <w:pPr>
        <w:snapToGrid w:val="0"/>
        <w:spacing w:line="360" w:lineRule="auto"/>
        <w:ind w:firstLine="600" w:firstLineChars="200"/>
        <w:rPr>
          <w:rFonts w:hint="default" w:ascii="仿宋" w:hAnsi="仿宋" w:eastAsia="仿宋" w:cs="仿宋"/>
          <w:b w:val="0"/>
          <w:bCs w:val="0"/>
          <w:sz w:val="30"/>
          <w:szCs w:val="30"/>
          <w:lang w:val="en-US" w:eastAsia="zh-CN"/>
        </w:rPr>
      </w:pPr>
      <w:r>
        <w:rPr>
          <w:rFonts w:hint="default" w:ascii="仿宋" w:hAnsi="仿宋" w:eastAsia="仿宋" w:cs="仿宋"/>
          <w:b w:val="0"/>
          <w:bCs w:val="0"/>
          <w:sz w:val="30"/>
          <w:szCs w:val="30"/>
          <w:lang w:val="en-US" w:eastAsia="zh-CN"/>
        </w:rPr>
        <w:t>附录B（规范性）  等级保护对象整体安全保护能力的要求</w:t>
      </w:r>
    </w:p>
    <w:p>
      <w:pPr>
        <w:snapToGrid w:val="0"/>
        <w:spacing w:line="360" w:lineRule="auto"/>
        <w:ind w:firstLine="600" w:firstLineChars="200"/>
        <w:rPr>
          <w:rFonts w:hint="default" w:ascii="仿宋" w:hAnsi="仿宋" w:eastAsia="仿宋" w:cs="仿宋"/>
          <w:b w:val="0"/>
          <w:bCs w:val="0"/>
          <w:sz w:val="30"/>
          <w:szCs w:val="30"/>
          <w:lang w:val="en-US" w:eastAsia="zh-CN"/>
        </w:rPr>
      </w:pPr>
      <w:r>
        <w:rPr>
          <w:rFonts w:hint="default" w:ascii="仿宋" w:hAnsi="仿宋" w:eastAsia="仿宋" w:cs="仿宋"/>
          <w:b w:val="0"/>
          <w:bCs w:val="0"/>
          <w:sz w:val="30"/>
          <w:szCs w:val="30"/>
          <w:lang w:val="en-US" w:eastAsia="zh-CN"/>
        </w:rPr>
        <w:t>附录C（规范性）  等级保护安全框架和关键技术使用要求</w:t>
      </w:r>
    </w:p>
    <w:p>
      <w:pPr>
        <w:snapToGrid w:val="0"/>
        <w:spacing w:line="360" w:lineRule="auto"/>
        <w:ind w:firstLine="600" w:firstLineChars="200"/>
        <w:rPr>
          <w:rFonts w:hint="default" w:ascii="仿宋" w:hAnsi="仿宋" w:eastAsia="仿宋" w:cs="仿宋"/>
          <w:b w:val="0"/>
          <w:bCs w:val="0"/>
          <w:sz w:val="30"/>
          <w:szCs w:val="30"/>
          <w:lang w:val="en-US" w:eastAsia="zh-CN"/>
        </w:rPr>
      </w:pPr>
      <w:r>
        <w:rPr>
          <w:rFonts w:hint="default" w:ascii="仿宋" w:hAnsi="仿宋" w:eastAsia="仿宋" w:cs="仿宋"/>
          <w:b w:val="0"/>
          <w:bCs w:val="0"/>
          <w:sz w:val="30"/>
          <w:szCs w:val="30"/>
          <w:lang w:val="en-US" w:eastAsia="zh-CN"/>
        </w:rPr>
        <w:t>附录D（规范性）  管理平台应用场景要求</w:t>
      </w:r>
    </w:p>
    <w:p>
      <w:pPr>
        <w:snapToGrid w:val="0"/>
        <w:spacing w:line="360" w:lineRule="auto"/>
        <w:ind w:firstLine="600" w:firstLineChars="200"/>
        <w:rPr>
          <w:rFonts w:hint="default" w:ascii="仿宋" w:hAnsi="仿宋" w:eastAsia="仿宋" w:cs="仿宋"/>
          <w:b w:val="0"/>
          <w:bCs w:val="0"/>
          <w:sz w:val="30"/>
          <w:szCs w:val="30"/>
          <w:lang w:val="en-US" w:eastAsia="zh-CN"/>
        </w:rPr>
      </w:pPr>
      <w:r>
        <w:rPr>
          <w:rFonts w:hint="default" w:ascii="仿宋" w:hAnsi="仿宋" w:eastAsia="仿宋" w:cs="仿宋"/>
          <w:b w:val="0"/>
          <w:bCs w:val="0"/>
          <w:sz w:val="30"/>
          <w:szCs w:val="30"/>
          <w:lang w:val="en-US" w:eastAsia="zh-CN"/>
        </w:rPr>
        <w:t>附录E（规范性）  移动互联应用场景要求</w:t>
      </w:r>
    </w:p>
    <w:p>
      <w:pPr>
        <w:snapToGrid w:val="0"/>
        <w:spacing w:line="360" w:lineRule="auto"/>
        <w:ind w:firstLine="600" w:firstLineChars="200"/>
        <w:rPr>
          <w:rFonts w:hint="default" w:ascii="仿宋" w:hAnsi="仿宋" w:eastAsia="仿宋" w:cs="仿宋"/>
          <w:b w:val="0"/>
          <w:bCs w:val="0"/>
          <w:sz w:val="30"/>
          <w:szCs w:val="30"/>
          <w:lang w:val="en-US" w:eastAsia="zh-CN"/>
        </w:rPr>
      </w:pPr>
      <w:r>
        <w:rPr>
          <w:rFonts w:hint="default" w:ascii="仿宋" w:hAnsi="仿宋" w:eastAsia="仿宋" w:cs="仿宋"/>
          <w:b w:val="0"/>
          <w:bCs w:val="0"/>
          <w:sz w:val="30"/>
          <w:szCs w:val="30"/>
          <w:lang w:val="en-US" w:eastAsia="zh-CN"/>
        </w:rPr>
        <w:t>附录F（规范性）  挂载设备应用场景要求</w:t>
      </w:r>
    </w:p>
    <w:p>
      <w:pPr>
        <w:snapToGrid w:val="0"/>
        <w:spacing w:line="360" w:lineRule="auto"/>
        <w:ind w:firstLine="600" w:firstLineChars="200"/>
        <w:rPr>
          <w:rFonts w:hint="default" w:ascii="仿宋" w:hAnsi="仿宋" w:eastAsia="仿宋" w:cs="仿宋"/>
          <w:b w:val="0"/>
          <w:bCs w:val="0"/>
          <w:sz w:val="30"/>
          <w:szCs w:val="30"/>
          <w:lang w:val="en-US" w:eastAsia="zh-CN"/>
        </w:rPr>
      </w:pPr>
      <w:r>
        <w:rPr>
          <w:rFonts w:hint="default" w:ascii="仿宋" w:hAnsi="仿宋" w:eastAsia="仿宋" w:cs="仿宋"/>
          <w:b w:val="0"/>
          <w:bCs w:val="0"/>
          <w:sz w:val="30"/>
          <w:szCs w:val="30"/>
          <w:lang w:val="en-US" w:eastAsia="zh-CN"/>
        </w:rPr>
        <w:t>附录G（规范性）  密码模块安全技术要求</w:t>
      </w:r>
    </w:p>
    <w:p>
      <w:pPr>
        <w:snapToGrid w:val="0"/>
        <w:spacing w:line="360" w:lineRule="auto"/>
        <w:ind w:firstLine="600" w:firstLineChars="200"/>
        <w:rPr>
          <w:rFonts w:hint="default" w:ascii="仿宋" w:hAnsi="仿宋" w:eastAsia="仿宋" w:cs="仿宋"/>
          <w:b w:val="0"/>
          <w:bCs w:val="0"/>
          <w:sz w:val="30"/>
          <w:szCs w:val="30"/>
          <w:lang w:val="en-US" w:eastAsia="zh-CN"/>
        </w:rPr>
      </w:pPr>
      <w:r>
        <w:rPr>
          <w:rFonts w:hint="default" w:ascii="仿宋" w:hAnsi="仿宋" w:eastAsia="仿宋" w:cs="仿宋"/>
          <w:b w:val="0"/>
          <w:bCs w:val="0"/>
          <w:sz w:val="30"/>
          <w:szCs w:val="30"/>
          <w:lang w:val="en-US" w:eastAsia="zh-CN"/>
        </w:rPr>
        <w:t>附录H（规范性）  可信验证要求</w:t>
      </w:r>
      <w:r>
        <w:rPr>
          <w:rFonts w:hint="default" w:ascii="仿宋" w:hAnsi="仿宋" w:eastAsia="仿宋" w:cs="仿宋"/>
          <w:b w:val="0"/>
          <w:bCs w:val="0"/>
          <w:sz w:val="30"/>
          <w:szCs w:val="30"/>
          <w:lang w:val="en-US" w:eastAsia="zh-CN"/>
        </w:rPr>
        <w:tab/>
      </w:r>
    </w:p>
    <w:p>
      <w:pPr>
        <w:pStyle w:val="13"/>
        <w:widowControl/>
        <w:snapToGrid w:val="0"/>
        <w:spacing w:before="0" w:beforeAutospacing="0" w:after="0" w:afterAutospacing="0" w:line="360" w:lineRule="auto"/>
        <w:ind w:left="596" w:leftChars="284"/>
        <w:rPr>
          <w:rFonts w:hint="eastAsia" w:ascii="仿宋" w:hAnsi="仿宋" w:eastAsia="仿宋" w:cs="仿宋"/>
          <w:sz w:val="30"/>
          <w:szCs w:val="30"/>
        </w:rPr>
      </w:pPr>
    </w:p>
    <w:p>
      <w:pPr>
        <w:pStyle w:val="2"/>
        <w:snapToGrid w:val="0"/>
        <w:spacing w:before="0" w:beforeAutospacing="0" w:after="0" w:afterAutospacing="0" w:line="360" w:lineRule="auto"/>
        <w:rPr>
          <w:rFonts w:ascii="仿宋" w:hAnsi="仿宋" w:cs="Times New Roman"/>
          <w:sz w:val="32"/>
          <w:szCs w:val="32"/>
        </w:rPr>
      </w:pPr>
      <w:bookmarkStart w:id="4" w:name="_Toc11416294"/>
      <w:r>
        <w:rPr>
          <w:rFonts w:hint="eastAsia" w:ascii="仿宋" w:hAnsi="仿宋" w:cs="Times New Roman"/>
          <w:sz w:val="32"/>
          <w:szCs w:val="32"/>
        </w:rPr>
        <w:t>五</w:t>
      </w:r>
      <w:r>
        <w:rPr>
          <w:rFonts w:ascii="仿宋" w:hAnsi="仿宋" w:cs="Times New Roman"/>
          <w:sz w:val="32"/>
          <w:szCs w:val="32"/>
        </w:rPr>
        <w:t>、</w:t>
      </w:r>
      <w:bookmarkEnd w:id="4"/>
      <w:r>
        <w:rPr>
          <w:rFonts w:hint="eastAsia" w:ascii="仿宋" w:hAnsi="仿宋" w:cs="Times New Roman"/>
          <w:sz w:val="32"/>
          <w:szCs w:val="32"/>
        </w:rPr>
        <w:t>是否涉及专利等知识产权问题</w:t>
      </w:r>
    </w:p>
    <w:p>
      <w:pPr>
        <w:pStyle w:val="13"/>
        <w:widowControl/>
        <w:snapToGrid w:val="0"/>
        <w:spacing w:before="0" w:beforeAutospacing="0" w:after="0" w:afterAutospacing="0" w:line="360" w:lineRule="auto"/>
        <w:ind w:firstLine="600" w:firstLineChars="200"/>
        <w:rPr>
          <w:rFonts w:hint="eastAsia" w:ascii="仿宋" w:hAnsi="仿宋" w:eastAsia="仿宋" w:cs="仿宋"/>
          <w:sz w:val="30"/>
          <w:szCs w:val="30"/>
        </w:rPr>
      </w:pPr>
      <w:bookmarkStart w:id="5" w:name="_Toc11416295"/>
      <w:r>
        <w:rPr>
          <w:rFonts w:hint="eastAsia" w:ascii="仿宋" w:hAnsi="仿宋" w:eastAsia="仿宋" w:cs="仿宋"/>
          <w:sz w:val="30"/>
          <w:szCs w:val="30"/>
        </w:rPr>
        <w:t>无。</w:t>
      </w:r>
    </w:p>
    <w:p>
      <w:pPr>
        <w:pStyle w:val="13"/>
        <w:widowControl/>
        <w:snapToGrid w:val="0"/>
        <w:spacing w:before="0" w:beforeAutospacing="0" w:after="0" w:afterAutospacing="0" w:line="360" w:lineRule="auto"/>
        <w:ind w:firstLine="600" w:firstLineChars="200"/>
        <w:rPr>
          <w:rFonts w:hint="eastAsia" w:ascii="仿宋" w:hAnsi="仿宋" w:eastAsia="仿宋" w:cs="仿宋"/>
          <w:sz w:val="30"/>
          <w:szCs w:val="30"/>
        </w:rPr>
      </w:pPr>
    </w:p>
    <w:bookmarkEnd w:id="5"/>
    <w:p>
      <w:pPr>
        <w:pStyle w:val="2"/>
        <w:numPr>
          <w:ilvl w:val="0"/>
          <w:numId w:val="6"/>
        </w:numPr>
        <w:snapToGrid w:val="0"/>
        <w:spacing w:before="0" w:beforeAutospacing="0" w:after="0" w:afterAutospacing="0" w:line="360" w:lineRule="auto"/>
        <w:rPr>
          <w:rFonts w:hint="eastAsia" w:ascii="仿宋" w:hAnsi="仿宋" w:cs="Times New Roman"/>
          <w:sz w:val="32"/>
          <w:szCs w:val="32"/>
        </w:rPr>
      </w:pPr>
      <w:r>
        <w:rPr>
          <w:rFonts w:hint="eastAsia" w:ascii="仿宋" w:hAnsi="仿宋" w:cs="Times New Roman"/>
          <w:sz w:val="32"/>
          <w:szCs w:val="32"/>
        </w:rPr>
        <w:t>重大意见分歧的处理依据和结果</w:t>
      </w:r>
    </w:p>
    <w:p>
      <w:pPr>
        <w:pStyle w:val="13"/>
        <w:widowControl/>
        <w:snapToGrid w:val="0"/>
        <w:spacing w:before="0" w:beforeAutospacing="0" w:after="0" w:afterAutospacing="0"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rPr>
        <w:t>本标准制定过程中无重大分歧意见。</w:t>
      </w:r>
    </w:p>
    <w:p>
      <w:pPr>
        <w:pStyle w:val="13"/>
        <w:widowControl/>
        <w:snapToGrid w:val="0"/>
        <w:spacing w:before="0" w:beforeAutospacing="0" w:after="0" w:afterAutospacing="0" w:line="360" w:lineRule="auto"/>
        <w:ind w:firstLine="600" w:firstLineChars="200"/>
        <w:rPr>
          <w:rFonts w:hint="eastAsia" w:ascii="仿宋" w:hAnsi="仿宋" w:eastAsia="仿宋" w:cs="仿宋"/>
          <w:sz w:val="30"/>
          <w:szCs w:val="30"/>
        </w:rPr>
      </w:pPr>
    </w:p>
    <w:p>
      <w:pPr>
        <w:pStyle w:val="2"/>
        <w:numPr>
          <w:ilvl w:val="0"/>
          <w:numId w:val="7"/>
        </w:numPr>
        <w:snapToGrid w:val="0"/>
        <w:spacing w:before="0" w:beforeAutospacing="0" w:after="0" w:afterAutospacing="0" w:line="360" w:lineRule="auto"/>
        <w:rPr>
          <w:rFonts w:ascii="仿宋" w:hAnsi="仿宋" w:cs="Times New Roman"/>
          <w:sz w:val="32"/>
          <w:szCs w:val="32"/>
        </w:rPr>
      </w:pPr>
      <w:r>
        <w:rPr>
          <w:rFonts w:hint="eastAsia" w:ascii="仿宋" w:hAnsi="仿宋" w:cs="Times New Roman"/>
          <w:sz w:val="32"/>
          <w:szCs w:val="32"/>
        </w:rPr>
        <w:t>实施标准的措施建议</w:t>
      </w:r>
    </w:p>
    <w:p>
      <w:pPr>
        <w:pStyle w:val="13"/>
        <w:widowControl/>
        <w:snapToGrid w:val="0"/>
        <w:spacing w:before="0" w:beforeAutospacing="0" w:after="0" w:afterAutospacing="0" w:line="360" w:lineRule="auto"/>
        <w:ind w:firstLine="600" w:firstLineChars="200"/>
        <w:rPr>
          <w:rFonts w:ascii="仿宋" w:hAnsi="仿宋" w:eastAsia="仿宋" w:cs="仿宋"/>
          <w:sz w:val="30"/>
          <w:szCs w:val="30"/>
        </w:rPr>
      </w:pPr>
      <w:r>
        <w:rPr>
          <w:rFonts w:hint="eastAsia" w:ascii="仿宋" w:hAnsi="仿宋" w:eastAsia="仿宋" w:cs="仿宋"/>
          <w:sz w:val="30"/>
          <w:szCs w:val="30"/>
        </w:rPr>
        <w:t>1、在相关专业媒体上宣传《多功能智能杆 网络安全等级保护基本要求》。</w:t>
      </w:r>
    </w:p>
    <w:p>
      <w:pPr>
        <w:pStyle w:val="13"/>
        <w:widowControl/>
        <w:snapToGrid w:val="0"/>
        <w:spacing w:before="0" w:beforeAutospacing="0" w:after="0" w:afterAutospacing="0" w:line="360" w:lineRule="auto"/>
        <w:ind w:firstLine="600" w:firstLineChars="200"/>
        <w:rPr>
          <w:rFonts w:ascii="仿宋" w:hAnsi="仿宋" w:eastAsia="仿宋" w:cs="仿宋"/>
          <w:sz w:val="30"/>
          <w:szCs w:val="30"/>
        </w:rPr>
      </w:pPr>
      <w:r>
        <w:rPr>
          <w:rFonts w:hint="eastAsia" w:ascii="仿宋" w:hAnsi="仿宋" w:eastAsia="仿宋" w:cs="仿宋"/>
          <w:sz w:val="30"/>
          <w:szCs w:val="30"/>
        </w:rPr>
        <w:t>2、通过有关会议介绍《多功能智能杆 网络安全等级保护基本要求》。</w:t>
      </w:r>
    </w:p>
    <w:p>
      <w:pPr>
        <w:pStyle w:val="13"/>
        <w:widowControl/>
        <w:snapToGrid w:val="0"/>
        <w:spacing w:before="0" w:beforeAutospacing="0" w:after="0" w:afterAutospacing="0"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rPr>
        <w:t>3、在运行单位的管理系统中，严格执行《多功能智能杆 网络安全等级保护基本要求》。</w:t>
      </w:r>
    </w:p>
    <w:p>
      <w:pPr>
        <w:pStyle w:val="13"/>
        <w:widowControl/>
        <w:snapToGrid w:val="0"/>
        <w:spacing w:before="0" w:beforeAutospacing="0" w:after="0" w:afterAutospacing="0" w:line="360" w:lineRule="auto"/>
        <w:ind w:firstLine="600" w:firstLineChars="200"/>
        <w:rPr>
          <w:rFonts w:hint="eastAsia" w:ascii="仿宋" w:hAnsi="仿宋" w:eastAsia="仿宋" w:cs="仿宋"/>
          <w:sz w:val="30"/>
          <w:szCs w:val="30"/>
        </w:rPr>
      </w:pPr>
    </w:p>
    <w:p>
      <w:pPr>
        <w:pStyle w:val="2"/>
        <w:snapToGrid w:val="0"/>
        <w:spacing w:before="0" w:beforeAutospacing="0" w:after="0" w:afterAutospacing="0" w:line="360" w:lineRule="auto"/>
        <w:rPr>
          <w:rFonts w:ascii="仿宋" w:hAnsi="仿宋" w:cs="Times New Roman"/>
          <w:sz w:val="32"/>
          <w:szCs w:val="32"/>
        </w:rPr>
      </w:pPr>
      <w:r>
        <w:rPr>
          <w:rFonts w:hint="eastAsia" w:ascii="仿宋" w:hAnsi="仿宋" w:cs="Times New Roman"/>
          <w:sz w:val="32"/>
          <w:szCs w:val="32"/>
        </w:rPr>
        <w:t>八</w:t>
      </w:r>
      <w:r>
        <w:rPr>
          <w:rFonts w:ascii="仿宋" w:hAnsi="仿宋" w:cs="Times New Roman"/>
          <w:sz w:val="32"/>
          <w:szCs w:val="32"/>
        </w:rPr>
        <w:t>、</w:t>
      </w:r>
      <w:r>
        <w:rPr>
          <w:rFonts w:hint="eastAsia" w:ascii="仿宋" w:hAnsi="仿宋" w:cs="Times New Roman"/>
          <w:sz w:val="32"/>
          <w:szCs w:val="32"/>
        </w:rPr>
        <w:t>其他需要说明的事项</w:t>
      </w:r>
    </w:p>
    <w:p>
      <w:pPr>
        <w:snapToGrid w:val="0"/>
        <w:spacing w:line="360" w:lineRule="auto"/>
        <w:ind w:firstLine="600" w:firstLineChars="200"/>
        <w:rPr>
          <w:rFonts w:ascii="仿宋" w:hAnsi="仿宋" w:eastAsia="仿宋" w:cs="Times New Roman"/>
          <w:sz w:val="30"/>
          <w:szCs w:val="30"/>
        </w:rPr>
      </w:pPr>
      <w:r>
        <w:rPr>
          <w:rFonts w:ascii="仿宋" w:hAnsi="仿宋" w:eastAsia="仿宋" w:cs="Times New Roman"/>
          <w:sz w:val="30"/>
          <w:szCs w:val="30"/>
        </w:rPr>
        <w:t>无。</w:t>
      </w:r>
    </w:p>
    <w:p>
      <w:pPr>
        <w:snapToGrid w:val="0"/>
        <w:spacing w:line="360" w:lineRule="auto"/>
        <w:ind w:firstLine="640" w:firstLineChars="200"/>
        <w:rPr>
          <w:rFonts w:ascii="仿宋" w:hAnsi="仿宋" w:eastAsia="仿宋" w:cs="Times New Roman"/>
          <w:sz w:val="32"/>
          <w:szCs w:val="32"/>
        </w:rPr>
      </w:pPr>
    </w:p>
    <w:p>
      <w:pPr>
        <w:snapToGrid w:val="0"/>
        <w:spacing w:line="360" w:lineRule="auto"/>
        <w:ind w:firstLine="640" w:firstLineChars="200"/>
        <w:rPr>
          <w:rFonts w:ascii="仿宋" w:hAnsi="仿宋" w:eastAsia="仿宋" w:cs="Times New Roman"/>
          <w:sz w:val="32"/>
          <w:szCs w:val="32"/>
        </w:rPr>
      </w:pPr>
    </w:p>
    <w:p>
      <w:pPr>
        <w:snapToGrid w:val="0"/>
        <w:spacing w:line="360" w:lineRule="auto"/>
        <w:rPr>
          <w:rFonts w:ascii="仿宋" w:hAnsi="仿宋" w:eastAsia="仿宋" w:cs="仿宋"/>
          <w:b/>
          <w:bCs/>
          <w:sz w:val="32"/>
          <w:szCs w:val="32"/>
        </w:rPr>
      </w:pPr>
    </w:p>
    <w:sectPr>
      <w:footerReference r:id="rId3" w:type="default"/>
      <w:pgSz w:w="11906" w:h="16838"/>
      <w:pgMar w:top="1361" w:right="1361" w:bottom="1361" w:left="1418" w:header="851" w:footer="992" w:gutter="0"/>
      <w:pgNumType w:start="1"/>
      <w:cols w:space="0" w:num="1"/>
      <w:rtlGutter w:val="0"/>
      <w:docGrid w:type="lines" w:linePitch="312" w:charSpace="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 w:name="Cambria">
    <w:panose1 w:val="02040503050406030204"/>
    <w:charset w:val="00"/>
    <w:family w:val="roman"/>
    <w:pitch w:val="default"/>
    <w:sig w:usb0="E00002FF" w:usb1="400004FF" w:usb2="00000000" w:usb3="00000000" w:csb0="2000019F" w:csb1="00000000"/>
  </w:font>
  <w:font w:name="仿宋_GB2312">
    <w:panose1 w:val="02010609030101010101"/>
    <w:charset w:val="86"/>
    <w:family w:val="modern"/>
    <w:pitch w:val="default"/>
    <w:sig w:usb0="00000001" w:usb1="080E0000" w:usb2="00000000" w:usb3="00000000" w:csb0="00040000" w:csb1="00000000"/>
  </w:font>
  <w:font w:name="微软雅黑">
    <w:panose1 w:val="020B0503020204020204"/>
    <w:charset w:val="86"/>
    <w:family w:val="swiss"/>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90083531"/>
    </w:sdtPr>
    <w:sdtContent>
      <w:p>
        <w:pPr>
          <w:pStyle w:val="9"/>
          <w:jc w:val="center"/>
        </w:pPr>
        <w:r>
          <w:fldChar w:fldCharType="begin"/>
        </w:r>
        <w:r>
          <w:instrText xml:space="preserve">PAGE   \* MERGEFORMAT</w:instrText>
        </w:r>
        <w:r>
          <w:fldChar w:fldCharType="separate"/>
        </w:r>
        <w:r>
          <w:rPr>
            <w:lang w:val="zh-CN"/>
          </w:rPr>
          <w:t>11</w:t>
        </w:r>
        <w:r>
          <w:fldChar w:fldCharType="end"/>
        </w:r>
      </w:p>
    </w:sdtContent>
  </w:sdt>
  <w:p>
    <w:pPr>
      <w:pStyle w:val="9"/>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3E211CF"/>
    <w:multiLevelType w:val="singleLevel"/>
    <w:tmpl w:val="B3E211CF"/>
    <w:lvl w:ilvl="0" w:tentative="0">
      <w:start w:val="2"/>
      <w:numFmt w:val="decimal"/>
      <w:suff w:val="nothing"/>
      <w:lvlText w:val="%1）"/>
      <w:lvlJc w:val="left"/>
    </w:lvl>
  </w:abstractNum>
  <w:abstractNum w:abstractNumId="1">
    <w:nsid w:val="BD32B80C"/>
    <w:multiLevelType w:val="singleLevel"/>
    <w:tmpl w:val="BD32B80C"/>
    <w:lvl w:ilvl="0" w:tentative="0">
      <w:start w:val="3"/>
      <w:numFmt w:val="chineseCounting"/>
      <w:suff w:val="nothing"/>
      <w:lvlText w:val="%1、"/>
      <w:lvlJc w:val="left"/>
      <w:rPr>
        <w:rFonts w:hint="eastAsia"/>
      </w:rPr>
    </w:lvl>
  </w:abstractNum>
  <w:abstractNum w:abstractNumId="2">
    <w:nsid w:val="F11BE73E"/>
    <w:multiLevelType w:val="singleLevel"/>
    <w:tmpl w:val="F11BE73E"/>
    <w:lvl w:ilvl="0" w:tentative="0">
      <w:start w:val="6"/>
      <w:numFmt w:val="chineseCounting"/>
      <w:suff w:val="nothing"/>
      <w:lvlText w:val="%1、"/>
      <w:lvlJc w:val="left"/>
      <w:rPr>
        <w:rFonts w:hint="eastAsia"/>
      </w:rPr>
    </w:lvl>
  </w:abstractNum>
  <w:abstractNum w:abstractNumId="3">
    <w:nsid w:val="1FC91163"/>
    <w:multiLevelType w:val="multilevel"/>
    <w:tmpl w:val="1FC91163"/>
    <w:lvl w:ilvl="0" w:tentative="0">
      <w:start w:val="1"/>
      <w:numFmt w:val="decimal"/>
      <w:pStyle w:val="27"/>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26"/>
      <w:suff w:val="nothing"/>
      <w:lvlText w:val="%1.%2　"/>
      <w:lvlJc w:val="left"/>
      <w:pPr>
        <w:ind w:left="426" w:firstLine="0"/>
      </w:pPr>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rPr>
    </w:lvl>
    <w:lvl w:ilvl="2" w:tentative="0">
      <w:start w:val="1"/>
      <w:numFmt w:val="decimal"/>
      <w:pStyle w:val="28"/>
      <w:suff w:val="nothing"/>
      <w:lvlText w:val="%1.%2.%3　"/>
      <w:lvlJc w:val="left"/>
      <w:pPr>
        <w:ind w:left="0" w:firstLine="0"/>
      </w:pPr>
      <w:rPr>
        <w:rFonts w:hint="eastAsia" w:ascii="黑体" w:hAnsi="Times New Roman" w:eastAsia="黑体"/>
        <w:b w:val="0"/>
        <w:i w:val="0"/>
        <w:sz w:val="21"/>
      </w:rPr>
    </w:lvl>
    <w:lvl w:ilvl="3" w:tentative="0">
      <w:start w:val="1"/>
      <w:numFmt w:val="decimal"/>
      <w:pStyle w:val="29"/>
      <w:suff w:val="nothing"/>
      <w:lvlText w:val="%1.%2.%3.%4　"/>
      <w:lvlJc w:val="left"/>
      <w:pPr>
        <w:ind w:left="0" w:firstLine="0"/>
      </w:pPr>
      <w:rPr>
        <w:rFonts w:hint="eastAsia" w:ascii="黑体" w:hAnsi="Times New Roman" w:eastAsia="黑体"/>
        <w:b w:val="0"/>
        <w:i w:val="0"/>
        <w:sz w:val="21"/>
      </w:rPr>
    </w:lvl>
    <w:lvl w:ilvl="4" w:tentative="0">
      <w:start w:val="1"/>
      <w:numFmt w:val="decimal"/>
      <w:pStyle w:val="31"/>
      <w:suff w:val="nothing"/>
      <w:lvlText w:val="%1.%2.%3.%4.%5　"/>
      <w:lvlJc w:val="left"/>
      <w:pPr>
        <w:ind w:left="0" w:firstLine="0"/>
      </w:pPr>
      <w:rPr>
        <w:rFonts w:hint="eastAsia" w:ascii="黑体" w:hAnsi="Times New Roman" w:eastAsia="黑体"/>
        <w:b w:val="0"/>
        <w:i w:val="0"/>
        <w:sz w:val="21"/>
      </w:rPr>
    </w:lvl>
    <w:lvl w:ilvl="5" w:tentative="0">
      <w:start w:val="1"/>
      <w:numFmt w:val="decimal"/>
      <w:pStyle w:val="32"/>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4">
    <w:nsid w:val="442E55B6"/>
    <w:multiLevelType w:val="singleLevel"/>
    <w:tmpl w:val="442E55B6"/>
    <w:lvl w:ilvl="0" w:tentative="0">
      <w:start w:val="7"/>
      <w:numFmt w:val="chineseCounting"/>
      <w:suff w:val="nothing"/>
      <w:lvlText w:val="%1、"/>
      <w:lvlJc w:val="left"/>
      <w:rPr>
        <w:rFonts w:hint="eastAsia"/>
      </w:rPr>
    </w:lvl>
  </w:abstractNum>
  <w:abstractNum w:abstractNumId="5">
    <w:nsid w:val="44C50F90"/>
    <w:multiLevelType w:val="multilevel"/>
    <w:tmpl w:val="44C50F90"/>
    <w:lvl w:ilvl="0" w:tentative="0">
      <w:start w:val="1"/>
      <w:numFmt w:val="lowerLetter"/>
      <w:pStyle w:val="33"/>
      <w:lvlText w:val="%1)"/>
      <w:lvlJc w:val="left"/>
      <w:pPr>
        <w:tabs>
          <w:tab w:val="left" w:pos="840"/>
        </w:tabs>
        <w:ind w:left="839" w:hanging="419"/>
      </w:pPr>
      <w:rPr>
        <w:rFonts w:hint="eastAsia" w:ascii="宋体" w:eastAsia="宋体"/>
        <w:b w:val="0"/>
        <w:i w:val="0"/>
        <w:sz w:val="21"/>
        <w:szCs w:val="21"/>
      </w:rPr>
    </w:lvl>
    <w:lvl w:ilvl="1" w:tentative="0">
      <w:start w:val="1"/>
      <w:numFmt w:val="decimal"/>
      <w:pStyle w:val="30"/>
      <w:lvlText w:val="%2)"/>
      <w:lvlJc w:val="left"/>
      <w:pPr>
        <w:tabs>
          <w:tab w:val="left" w:pos="1260"/>
        </w:tabs>
        <w:ind w:left="1259" w:hanging="419"/>
      </w:pPr>
      <w:rPr>
        <w:rFonts w:hint="eastAsia"/>
      </w:rPr>
    </w:lvl>
    <w:lvl w:ilvl="2" w:tentative="0">
      <w:start w:val="1"/>
      <w:numFmt w:val="decimal"/>
      <w:pStyle w:val="34"/>
      <w:lvlText w:val="(%3)"/>
      <w:lvlJc w:val="left"/>
      <w:pPr>
        <w:tabs>
          <w:tab w:val="left" w:pos="0"/>
        </w:tabs>
        <w:ind w:left="1679" w:hanging="420"/>
      </w:pPr>
      <w:rPr>
        <w:rFonts w:hint="eastAsia" w:ascii="宋体" w:eastAsia="宋体"/>
        <w:b w:val="0"/>
        <w:i w:val="0"/>
        <w:sz w:val="21"/>
        <w:szCs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6">
    <w:nsid w:val="47915356"/>
    <w:multiLevelType w:val="multilevel"/>
    <w:tmpl w:val="47915356"/>
    <w:lvl w:ilvl="0" w:tentative="0">
      <w:start w:val="1"/>
      <w:numFmt w:val="decimal"/>
      <w:lvlText w:val="%1."/>
      <w:lvlJc w:val="left"/>
      <w:pPr>
        <w:ind w:left="1070" w:hanging="430"/>
      </w:pPr>
      <w:rPr>
        <w:rFonts w:hint="default"/>
      </w:rPr>
    </w:lvl>
    <w:lvl w:ilvl="1" w:tentative="0">
      <w:start w:val="1"/>
      <w:numFmt w:val="lowerLetter"/>
      <w:lvlText w:val="%2)"/>
      <w:lvlJc w:val="left"/>
      <w:pPr>
        <w:ind w:left="1480" w:hanging="420"/>
      </w:pPr>
    </w:lvl>
    <w:lvl w:ilvl="2" w:tentative="0">
      <w:start w:val="1"/>
      <w:numFmt w:val="lowerRoman"/>
      <w:lvlText w:val="%3."/>
      <w:lvlJc w:val="right"/>
      <w:pPr>
        <w:ind w:left="1900" w:hanging="420"/>
      </w:pPr>
    </w:lvl>
    <w:lvl w:ilvl="3" w:tentative="0">
      <w:start w:val="1"/>
      <w:numFmt w:val="decimal"/>
      <w:lvlText w:val="%4."/>
      <w:lvlJc w:val="left"/>
      <w:pPr>
        <w:ind w:left="2320" w:hanging="420"/>
      </w:pPr>
    </w:lvl>
    <w:lvl w:ilvl="4" w:tentative="0">
      <w:start w:val="1"/>
      <w:numFmt w:val="lowerLetter"/>
      <w:lvlText w:val="%5)"/>
      <w:lvlJc w:val="left"/>
      <w:pPr>
        <w:ind w:left="2740" w:hanging="420"/>
      </w:pPr>
    </w:lvl>
    <w:lvl w:ilvl="5" w:tentative="0">
      <w:start w:val="1"/>
      <w:numFmt w:val="lowerRoman"/>
      <w:lvlText w:val="%6."/>
      <w:lvlJc w:val="right"/>
      <w:pPr>
        <w:ind w:left="3160" w:hanging="420"/>
      </w:pPr>
    </w:lvl>
    <w:lvl w:ilvl="6" w:tentative="0">
      <w:start w:val="1"/>
      <w:numFmt w:val="decimal"/>
      <w:lvlText w:val="%7."/>
      <w:lvlJc w:val="left"/>
      <w:pPr>
        <w:ind w:left="3580" w:hanging="420"/>
      </w:pPr>
    </w:lvl>
    <w:lvl w:ilvl="7" w:tentative="0">
      <w:start w:val="1"/>
      <w:numFmt w:val="lowerLetter"/>
      <w:lvlText w:val="%8)"/>
      <w:lvlJc w:val="left"/>
      <w:pPr>
        <w:ind w:left="4000" w:hanging="420"/>
      </w:pPr>
    </w:lvl>
    <w:lvl w:ilvl="8" w:tentative="0">
      <w:start w:val="1"/>
      <w:numFmt w:val="lowerRoman"/>
      <w:lvlText w:val="%9."/>
      <w:lvlJc w:val="right"/>
      <w:pPr>
        <w:ind w:left="4420" w:hanging="420"/>
      </w:pPr>
    </w:lvl>
  </w:abstractNum>
  <w:num w:numId="1">
    <w:abstractNumId w:val="3"/>
  </w:num>
  <w:num w:numId="2">
    <w:abstractNumId w:val="5"/>
  </w:num>
  <w:num w:numId="3">
    <w:abstractNumId w:val="0"/>
  </w:num>
  <w:num w:numId="4">
    <w:abstractNumId w:val="6"/>
  </w:num>
  <w:num w:numId="5">
    <w:abstractNumId w:val="1"/>
  </w:num>
  <w:num w:numId="6">
    <w:abstractNumId w:val="2"/>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9"/>
  <w:displayBackgroundShape w:val="1"/>
  <w:bordersDoNotSurroundHeader w:val="1"/>
  <w:bordersDoNotSurroundFooter w:val="1"/>
  <w:documentProtection w:enforcement="0"/>
  <w:defaultTabStop w:val="420"/>
  <w:noPunctuationKerning w:val="1"/>
  <w:characterSpacingControl w:val="doNotCompress"/>
  <w:compat>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TA5NzRjZGMwNTVjNjY0YjYwNTVmN2E1ZTMyOGU1N2IifQ=="/>
    <w:docVar w:name="KSO_WPS_MARK_KEY" w:val="8182122e-9091-4c9e-be80-3739f36369fe"/>
  </w:docVars>
  <w:rsids>
    <w:rsidRoot w:val="00172A27"/>
    <w:rsid w:val="00000117"/>
    <w:rsid w:val="00002900"/>
    <w:rsid w:val="000033EE"/>
    <w:rsid w:val="00005F35"/>
    <w:rsid w:val="00007FC4"/>
    <w:rsid w:val="00010849"/>
    <w:rsid w:val="000114E3"/>
    <w:rsid w:val="00011661"/>
    <w:rsid w:val="00013340"/>
    <w:rsid w:val="00017A96"/>
    <w:rsid w:val="00022584"/>
    <w:rsid w:val="00024A9D"/>
    <w:rsid w:val="0002522C"/>
    <w:rsid w:val="00026662"/>
    <w:rsid w:val="00031CDE"/>
    <w:rsid w:val="00031E15"/>
    <w:rsid w:val="00032C0D"/>
    <w:rsid w:val="000353CD"/>
    <w:rsid w:val="00035523"/>
    <w:rsid w:val="00035F93"/>
    <w:rsid w:val="000410D9"/>
    <w:rsid w:val="00042767"/>
    <w:rsid w:val="00042C44"/>
    <w:rsid w:val="00046CB1"/>
    <w:rsid w:val="00050308"/>
    <w:rsid w:val="00052F6B"/>
    <w:rsid w:val="00054E49"/>
    <w:rsid w:val="000550B9"/>
    <w:rsid w:val="00062B19"/>
    <w:rsid w:val="0006569D"/>
    <w:rsid w:val="000676C7"/>
    <w:rsid w:val="00067A01"/>
    <w:rsid w:val="00067AB2"/>
    <w:rsid w:val="00067BC1"/>
    <w:rsid w:val="00072929"/>
    <w:rsid w:val="00072CBE"/>
    <w:rsid w:val="00073411"/>
    <w:rsid w:val="000743A6"/>
    <w:rsid w:val="000763ED"/>
    <w:rsid w:val="00076A2C"/>
    <w:rsid w:val="00076E45"/>
    <w:rsid w:val="00081DA7"/>
    <w:rsid w:val="00081E4D"/>
    <w:rsid w:val="00081F18"/>
    <w:rsid w:val="000829D0"/>
    <w:rsid w:val="00082EF6"/>
    <w:rsid w:val="00084E7C"/>
    <w:rsid w:val="0008677F"/>
    <w:rsid w:val="000868D5"/>
    <w:rsid w:val="000903E3"/>
    <w:rsid w:val="000904B3"/>
    <w:rsid w:val="00090D7D"/>
    <w:rsid w:val="0009205C"/>
    <w:rsid w:val="00092741"/>
    <w:rsid w:val="00094346"/>
    <w:rsid w:val="00095E95"/>
    <w:rsid w:val="00095FA4"/>
    <w:rsid w:val="00097AAC"/>
    <w:rsid w:val="000A19F4"/>
    <w:rsid w:val="000A3D49"/>
    <w:rsid w:val="000A5184"/>
    <w:rsid w:val="000A5DFA"/>
    <w:rsid w:val="000A6177"/>
    <w:rsid w:val="000A6A14"/>
    <w:rsid w:val="000B0D6E"/>
    <w:rsid w:val="000B1695"/>
    <w:rsid w:val="000B278F"/>
    <w:rsid w:val="000B53F6"/>
    <w:rsid w:val="000B64B9"/>
    <w:rsid w:val="000B7EB4"/>
    <w:rsid w:val="000B7F22"/>
    <w:rsid w:val="000C12C4"/>
    <w:rsid w:val="000C1725"/>
    <w:rsid w:val="000C17F5"/>
    <w:rsid w:val="000C1D75"/>
    <w:rsid w:val="000C25AA"/>
    <w:rsid w:val="000C2EB1"/>
    <w:rsid w:val="000C302C"/>
    <w:rsid w:val="000C3AE5"/>
    <w:rsid w:val="000C5BBC"/>
    <w:rsid w:val="000C5C1F"/>
    <w:rsid w:val="000C5DD5"/>
    <w:rsid w:val="000C6497"/>
    <w:rsid w:val="000C715F"/>
    <w:rsid w:val="000D07A3"/>
    <w:rsid w:val="000D104A"/>
    <w:rsid w:val="000D5FBE"/>
    <w:rsid w:val="000D61F2"/>
    <w:rsid w:val="000D64E2"/>
    <w:rsid w:val="000E0AC6"/>
    <w:rsid w:val="000E3001"/>
    <w:rsid w:val="000E3325"/>
    <w:rsid w:val="000E6CFC"/>
    <w:rsid w:val="000E6FDD"/>
    <w:rsid w:val="000E7CC4"/>
    <w:rsid w:val="000F00DA"/>
    <w:rsid w:val="000F3DA3"/>
    <w:rsid w:val="000F4A75"/>
    <w:rsid w:val="000F5E52"/>
    <w:rsid w:val="000F658B"/>
    <w:rsid w:val="001014F4"/>
    <w:rsid w:val="00102F19"/>
    <w:rsid w:val="00105F8D"/>
    <w:rsid w:val="00106B2F"/>
    <w:rsid w:val="0010744D"/>
    <w:rsid w:val="00115072"/>
    <w:rsid w:val="00115C43"/>
    <w:rsid w:val="00115E7B"/>
    <w:rsid w:val="001160AE"/>
    <w:rsid w:val="00120AA5"/>
    <w:rsid w:val="001225B2"/>
    <w:rsid w:val="00122F85"/>
    <w:rsid w:val="0012650B"/>
    <w:rsid w:val="001272C0"/>
    <w:rsid w:val="001272F4"/>
    <w:rsid w:val="00127D9C"/>
    <w:rsid w:val="00127F65"/>
    <w:rsid w:val="00130B6B"/>
    <w:rsid w:val="00130F13"/>
    <w:rsid w:val="00131EBB"/>
    <w:rsid w:val="001336A8"/>
    <w:rsid w:val="00134F31"/>
    <w:rsid w:val="001351E5"/>
    <w:rsid w:val="00135F89"/>
    <w:rsid w:val="00136DFE"/>
    <w:rsid w:val="00140976"/>
    <w:rsid w:val="00141437"/>
    <w:rsid w:val="00141FCA"/>
    <w:rsid w:val="0015198D"/>
    <w:rsid w:val="00151C83"/>
    <w:rsid w:val="001523A2"/>
    <w:rsid w:val="0015255A"/>
    <w:rsid w:val="00152AD4"/>
    <w:rsid w:val="00153203"/>
    <w:rsid w:val="00153613"/>
    <w:rsid w:val="001546B1"/>
    <w:rsid w:val="00155CB6"/>
    <w:rsid w:val="00157644"/>
    <w:rsid w:val="00157931"/>
    <w:rsid w:val="0015793B"/>
    <w:rsid w:val="00162379"/>
    <w:rsid w:val="0016268C"/>
    <w:rsid w:val="00163F0A"/>
    <w:rsid w:val="00166C4D"/>
    <w:rsid w:val="00170724"/>
    <w:rsid w:val="00172937"/>
    <w:rsid w:val="00172A27"/>
    <w:rsid w:val="001739C2"/>
    <w:rsid w:val="001742A8"/>
    <w:rsid w:val="001744A0"/>
    <w:rsid w:val="00175D05"/>
    <w:rsid w:val="0017772C"/>
    <w:rsid w:val="00182AE0"/>
    <w:rsid w:val="00184723"/>
    <w:rsid w:val="00186557"/>
    <w:rsid w:val="00187E0D"/>
    <w:rsid w:val="0019459F"/>
    <w:rsid w:val="0019500A"/>
    <w:rsid w:val="0019554F"/>
    <w:rsid w:val="001A023B"/>
    <w:rsid w:val="001A2D08"/>
    <w:rsid w:val="001A37D6"/>
    <w:rsid w:val="001A4EC6"/>
    <w:rsid w:val="001B0282"/>
    <w:rsid w:val="001B2326"/>
    <w:rsid w:val="001B30D1"/>
    <w:rsid w:val="001B3543"/>
    <w:rsid w:val="001B3C42"/>
    <w:rsid w:val="001B5E47"/>
    <w:rsid w:val="001B64C7"/>
    <w:rsid w:val="001B7700"/>
    <w:rsid w:val="001C011F"/>
    <w:rsid w:val="001C1A9F"/>
    <w:rsid w:val="001C6708"/>
    <w:rsid w:val="001C6B19"/>
    <w:rsid w:val="001C75EF"/>
    <w:rsid w:val="001D14AA"/>
    <w:rsid w:val="001D22F7"/>
    <w:rsid w:val="001D317A"/>
    <w:rsid w:val="001D5F17"/>
    <w:rsid w:val="001D6BB4"/>
    <w:rsid w:val="001D6D48"/>
    <w:rsid w:val="001D6D71"/>
    <w:rsid w:val="001E2359"/>
    <w:rsid w:val="001E23AF"/>
    <w:rsid w:val="001E2BE1"/>
    <w:rsid w:val="001E493D"/>
    <w:rsid w:val="001E62AE"/>
    <w:rsid w:val="001E6C74"/>
    <w:rsid w:val="001E70F5"/>
    <w:rsid w:val="001F0C55"/>
    <w:rsid w:val="001F1CBA"/>
    <w:rsid w:val="001F2979"/>
    <w:rsid w:val="001F6FB2"/>
    <w:rsid w:val="00200A7B"/>
    <w:rsid w:val="00204609"/>
    <w:rsid w:val="002053FB"/>
    <w:rsid w:val="00206115"/>
    <w:rsid w:val="00206DCA"/>
    <w:rsid w:val="002105B4"/>
    <w:rsid w:val="00210921"/>
    <w:rsid w:val="002125F0"/>
    <w:rsid w:val="00213E70"/>
    <w:rsid w:val="0021564A"/>
    <w:rsid w:val="00215745"/>
    <w:rsid w:val="002168AC"/>
    <w:rsid w:val="002177D1"/>
    <w:rsid w:val="00220CD7"/>
    <w:rsid w:val="00223B68"/>
    <w:rsid w:val="00226660"/>
    <w:rsid w:val="00231C21"/>
    <w:rsid w:val="002327D3"/>
    <w:rsid w:val="00236AE7"/>
    <w:rsid w:val="00240871"/>
    <w:rsid w:val="002423D7"/>
    <w:rsid w:val="0024395B"/>
    <w:rsid w:val="00245A30"/>
    <w:rsid w:val="002461A6"/>
    <w:rsid w:val="002521FC"/>
    <w:rsid w:val="002530FA"/>
    <w:rsid w:val="0025319B"/>
    <w:rsid w:val="0025371A"/>
    <w:rsid w:val="0025542A"/>
    <w:rsid w:val="0025552C"/>
    <w:rsid w:val="00255CAF"/>
    <w:rsid w:val="002600C2"/>
    <w:rsid w:val="00260884"/>
    <w:rsid w:val="002617DF"/>
    <w:rsid w:val="00262194"/>
    <w:rsid w:val="0026239F"/>
    <w:rsid w:val="002625A5"/>
    <w:rsid w:val="00265F6A"/>
    <w:rsid w:val="00266B8E"/>
    <w:rsid w:val="0027108F"/>
    <w:rsid w:val="00271926"/>
    <w:rsid w:val="002726D9"/>
    <w:rsid w:val="00272E02"/>
    <w:rsid w:val="00275E5D"/>
    <w:rsid w:val="0028033D"/>
    <w:rsid w:val="00280439"/>
    <w:rsid w:val="00280731"/>
    <w:rsid w:val="00280B62"/>
    <w:rsid w:val="00281C26"/>
    <w:rsid w:val="0028217A"/>
    <w:rsid w:val="00283363"/>
    <w:rsid w:val="00283D81"/>
    <w:rsid w:val="00285048"/>
    <w:rsid w:val="00285D0F"/>
    <w:rsid w:val="002913B1"/>
    <w:rsid w:val="00292BCC"/>
    <w:rsid w:val="00294545"/>
    <w:rsid w:val="00297525"/>
    <w:rsid w:val="002A0E44"/>
    <w:rsid w:val="002A0EBF"/>
    <w:rsid w:val="002A36A1"/>
    <w:rsid w:val="002A4ECE"/>
    <w:rsid w:val="002A4EDD"/>
    <w:rsid w:val="002B1525"/>
    <w:rsid w:val="002B318E"/>
    <w:rsid w:val="002B4A25"/>
    <w:rsid w:val="002B6429"/>
    <w:rsid w:val="002B7C9B"/>
    <w:rsid w:val="002C316D"/>
    <w:rsid w:val="002C357B"/>
    <w:rsid w:val="002C5F23"/>
    <w:rsid w:val="002D0627"/>
    <w:rsid w:val="002D372F"/>
    <w:rsid w:val="002D5796"/>
    <w:rsid w:val="002E132A"/>
    <w:rsid w:val="002E20C5"/>
    <w:rsid w:val="002E2311"/>
    <w:rsid w:val="002E331D"/>
    <w:rsid w:val="002E4326"/>
    <w:rsid w:val="002E5E9F"/>
    <w:rsid w:val="002E5FCF"/>
    <w:rsid w:val="002E6968"/>
    <w:rsid w:val="002E74E6"/>
    <w:rsid w:val="002F6D93"/>
    <w:rsid w:val="00301EBE"/>
    <w:rsid w:val="003051D6"/>
    <w:rsid w:val="003055B7"/>
    <w:rsid w:val="00305D40"/>
    <w:rsid w:val="003100A9"/>
    <w:rsid w:val="00312698"/>
    <w:rsid w:val="003145F9"/>
    <w:rsid w:val="003147C2"/>
    <w:rsid w:val="00315241"/>
    <w:rsid w:val="0031582D"/>
    <w:rsid w:val="00316277"/>
    <w:rsid w:val="0032195A"/>
    <w:rsid w:val="003228B5"/>
    <w:rsid w:val="00322C30"/>
    <w:rsid w:val="00325B6D"/>
    <w:rsid w:val="00326FD7"/>
    <w:rsid w:val="00334B01"/>
    <w:rsid w:val="00335C91"/>
    <w:rsid w:val="00337D36"/>
    <w:rsid w:val="00337DCA"/>
    <w:rsid w:val="00341C22"/>
    <w:rsid w:val="003431EA"/>
    <w:rsid w:val="0034772D"/>
    <w:rsid w:val="003512E7"/>
    <w:rsid w:val="00353376"/>
    <w:rsid w:val="0035381C"/>
    <w:rsid w:val="003540C5"/>
    <w:rsid w:val="00354FC8"/>
    <w:rsid w:val="00360B61"/>
    <w:rsid w:val="003615DE"/>
    <w:rsid w:val="00362ADE"/>
    <w:rsid w:val="00362F8D"/>
    <w:rsid w:val="003637F0"/>
    <w:rsid w:val="00363A1C"/>
    <w:rsid w:val="00363DC8"/>
    <w:rsid w:val="003644D0"/>
    <w:rsid w:val="0036466E"/>
    <w:rsid w:val="00364749"/>
    <w:rsid w:val="00365B00"/>
    <w:rsid w:val="00366627"/>
    <w:rsid w:val="00371B41"/>
    <w:rsid w:val="00371CA5"/>
    <w:rsid w:val="0037528F"/>
    <w:rsid w:val="00376E83"/>
    <w:rsid w:val="003772EE"/>
    <w:rsid w:val="0038278A"/>
    <w:rsid w:val="003837BB"/>
    <w:rsid w:val="00384790"/>
    <w:rsid w:val="0039098B"/>
    <w:rsid w:val="0039125C"/>
    <w:rsid w:val="00395C4C"/>
    <w:rsid w:val="00395FBF"/>
    <w:rsid w:val="00396CCC"/>
    <w:rsid w:val="003A1EBE"/>
    <w:rsid w:val="003A22B6"/>
    <w:rsid w:val="003A2E25"/>
    <w:rsid w:val="003A4B92"/>
    <w:rsid w:val="003A594C"/>
    <w:rsid w:val="003A7BAF"/>
    <w:rsid w:val="003B000A"/>
    <w:rsid w:val="003B00C8"/>
    <w:rsid w:val="003B03CC"/>
    <w:rsid w:val="003B053C"/>
    <w:rsid w:val="003B0D0E"/>
    <w:rsid w:val="003B2404"/>
    <w:rsid w:val="003B34B6"/>
    <w:rsid w:val="003B4CC4"/>
    <w:rsid w:val="003B6398"/>
    <w:rsid w:val="003B7964"/>
    <w:rsid w:val="003C0CA1"/>
    <w:rsid w:val="003C1E7E"/>
    <w:rsid w:val="003C33DB"/>
    <w:rsid w:val="003C39E5"/>
    <w:rsid w:val="003C4451"/>
    <w:rsid w:val="003C45F1"/>
    <w:rsid w:val="003C5B85"/>
    <w:rsid w:val="003C6448"/>
    <w:rsid w:val="003C67AE"/>
    <w:rsid w:val="003D0114"/>
    <w:rsid w:val="003D223E"/>
    <w:rsid w:val="003D2B26"/>
    <w:rsid w:val="003D338D"/>
    <w:rsid w:val="003D6DA6"/>
    <w:rsid w:val="003E1705"/>
    <w:rsid w:val="003E3404"/>
    <w:rsid w:val="003E35C9"/>
    <w:rsid w:val="003E7DD8"/>
    <w:rsid w:val="003F0473"/>
    <w:rsid w:val="003F0613"/>
    <w:rsid w:val="003F210B"/>
    <w:rsid w:val="003F3715"/>
    <w:rsid w:val="003F4C13"/>
    <w:rsid w:val="00400CD6"/>
    <w:rsid w:val="00403283"/>
    <w:rsid w:val="00404181"/>
    <w:rsid w:val="00404C27"/>
    <w:rsid w:val="00406416"/>
    <w:rsid w:val="00406E45"/>
    <w:rsid w:val="00406F02"/>
    <w:rsid w:val="004100F6"/>
    <w:rsid w:val="00410708"/>
    <w:rsid w:val="0041443A"/>
    <w:rsid w:val="00420432"/>
    <w:rsid w:val="00420F59"/>
    <w:rsid w:val="00422108"/>
    <w:rsid w:val="00424EAF"/>
    <w:rsid w:val="0042531E"/>
    <w:rsid w:val="00426249"/>
    <w:rsid w:val="0042642A"/>
    <w:rsid w:val="00427F65"/>
    <w:rsid w:val="004309E5"/>
    <w:rsid w:val="00430C30"/>
    <w:rsid w:val="00431E36"/>
    <w:rsid w:val="00435882"/>
    <w:rsid w:val="004379AE"/>
    <w:rsid w:val="00441975"/>
    <w:rsid w:val="0044223B"/>
    <w:rsid w:val="0044224F"/>
    <w:rsid w:val="00442F3E"/>
    <w:rsid w:val="004462F5"/>
    <w:rsid w:val="00447981"/>
    <w:rsid w:val="00452011"/>
    <w:rsid w:val="004527D0"/>
    <w:rsid w:val="004542AC"/>
    <w:rsid w:val="004543DD"/>
    <w:rsid w:val="00454F51"/>
    <w:rsid w:val="00461006"/>
    <w:rsid w:val="00461E8B"/>
    <w:rsid w:val="00465C35"/>
    <w:rsid w:val="00467673"/>
    <w:rsid w:val="00471CCA"/>
    <w:rsid w:val="00472040"/>
    <w:rsid w:val="00472D60"/>
    <w:rsid w:val="00472E5F"/>
    <w:rsid w:val="00473F26"/>
    <w:rsid w:val="00473FC8"/>
    <w:rsid w:val="00474CB1"/>
    <w:rsid w:val="004754E9"/>
    <w:rsid w:val="00475919"/>
    <w:rsid w:val="00475F83"/>
    <w:rsid w:val="00476F1B"/>
    <w:rsid w:val="004807B9"/>
    <w:rsid w:val="004836EE"/>
    <w:rsid w:val="00483AF6"/>
    <w:rsid w:val="00483B61"/>
    <w:rsid w:val="00484A32"/>
    <w:rsid w:val="004857B7"/>
    <w:rsid w:val="00486803"/>
    <w:rsid w:val="00490225"/>
    <w:rsid w:val="00492CBB"/>
    <w:rsid w:val="004945BC"/>
    <w:rsid w:val="0049550D"/>
    <w:rsid w:val="00495791"/>
    <w:rsid w:val="00496CB6"/>
    <w:rsid w:val="00497BC3"/>
    <w:rsid w:val="00497E0F"/>
    <w:rsid w:val="004A2D4E"/>
    <w:rsid w:val="004A2E8D"/>
    <w:rsid w:val="004A3EAE"/>
    <w:rsid w:val="004A69F1"/>
    <w:rsid w:val="004A732F"/>
    <w:rsid w:val="004A7A3E"/>
    <w:rsid w:val="004A7ECF"/>
    <w:rsid w:val="004B0693"/>
    <w:rsid w:val="004B0814"/>
    <w:rsid w:val="004B210C"/>
    <w:rsid w:val="004B2451"/>
    <w:rsid w:val="004B253C"/>
    <w:rsid w:val="004B41C2"/>
    <w:rsid w:val="004B5A8C"/>
    <w:rsid w:val="004B74A0"/>
    <w:rsid w:val="004C0204"/>
    <w:rsid w:val="004C0FE9"/>
    <w:rsid w:val="004C29D2"/>
    <w:rsid w:val="004C2BB1"/>
    <w:rsid w:val="004C486B"/>
    <w:rsid w:val="004C77F3"/>
    <w:rsid w:val="004C798F"/>
    <w:rsid w:val="004C7F0C"/>
    <w:rsid w:val="004D2546"/>
    <w:rsid w:val="004D2661"/>
    <w:rsid w:val="004D5BFF"/>
    <w:rsid w:val="004D69EC"/>
    <w:rsid w:val="004D7758"/>
    <w:rsid w:val="004E0F65"/>
    <w:rsid w:val="004E5FA8"/>
    <w:rsid w:val="004F1071"/>
    <w:rsid w:val="004F12C2"/>
    <w:rsid w:val="004F2CC6"/>
    <w:rsid w:val="004F3090"/>
    <w:rsid w:val="004F34F2"/>
    <w:rsid w:val="004F43F8"/>
    <w:rsid w:val="004F457E"/>
    <w:rsid w:val="004F4860"/>
    <w:rsid w:val="004F7807"/>
    <w:rsid w:val="004F792E"/>
    <w:rsid w:val="00503440"/>
    <w:rsid w:val="00504182"/>
    <w:rsid w:val="00507027"/>
    <w:rsid w:val="00507047"/>
    <w:rsid w:val="00511088"/>
    <w:rsid w:val="005122BA"/>
    <w:rsid w:val="005129AA"/>
    <w:rsid w:val="0051321D"/>
    <w:rsid w:val="00513C8B"/>
    <w:rsid w:val="00514325"/>
    <w:rsid w:val="00514B1E"/>
    <w:rsid w:val="00515593"/>
    <w:rsid w:val="00516B26"/>
    <w:rsid w:val="00522C32"/>
    <w:rsid w:val="00523211"/>
    <w:rsid w:val="00523C86"/>
    <w:rsid w:val="00524BC6"/>
    <w:rsid w:val="0053020D"/>
    <w:rsid w:val="005311DE"/>
    <w:rsid w:val="00532112"/>
    <w:rsid w:val="005324C9"/>
    <w:rsid w:val="00532836"/>
    <w:rsid w:val="00533149"/>
    <w:rsid w:val="00533493"/>
    <w:rsid w:val="00533583"/>
    <w:rsid w:val="0053380E"/>
    <w:rsid w:val="00534C54"/>
    <w:rsid w:val="0054084A"/>
    <w:rsid w:val="00541E71"/>
    <w:rsid w:val="0054398C"/>
    <w:rsid w:val="005448EC"/>
    <w:rsid w:val="00551173"/>
    <w:rsid w:val="00561365"/>
    <w:rsid w:val="00561EA6"/>
    <w:rsid w:val="005625B9"/>
    <w:rsid w:val="00565C6E"/>
    <w:rsid w:val="0056667A"/>
    <w:rsid w:val="00567B11"/>
    <w:rsid w:val="00567C1A"/>
    <w:rsid w:val="00567E77"/>
    <w:rsid w:val="005708E3"/>
    <w:rsid w:val="00571395"/>
    <w:rsid w:val="00572A06"/>
    <w:rsid w:val="005748A3"/>
    <w:rsid w:val="00576351"/>
    <w:rsid w:val="005833E0"/>
    <w:rsid w:val="00584ABC"/>
    <w:rsid w:val="00585244"/>
    <w:rsid w:val="00585E09"/>
    <w:rsid w:val="00586AFD"/>
    <w:rsid w:val="00590B80"/>
    <w:rsid w:val="0059191E"/>
    <w:rsid w:val="0059351E"/>
    <w:rsid w:val="00593ACE"/>
    <w:rsid w:val="00595686"/>
    <w:rsid w:val="005972B7"/>
    <w:rsid w:val="005A1D55"/>
    <w:rsid w:val="005A4AF9"/>
    <w:rsid w:val="005A69B6"/>
    <w:rsid w:val="005A7CA0"/>
    <w:rsid w:val="005B0A0B"/>
    <w:rsid w:val="005B5A43"/>
    <w:rsid w:val="005B7A64"/>
    <w:rsid w:val="005B7D44"/>
    <w:rsid w:val="005C29B5"/>
    <w:rsid w:val="005C2B92"/>
    <w:rsid w:val="005C4F9B"/>
    <w:rsid w:val="005C6472"/>
    <w:rsid w:val="005C74B4"/>
    <w:rsid w:val="005D04F2"/>
    <w:rsid w:val="005D16D6"/>
    <w:rsid w:val="005D4C63"/>
    <w:rsid w:val="005D55CB"/>
    <w:rsid w:val="005D5F29"/>
    <w:rsid w:val="005D601C"/>
    <w:rsid w:val="005D6982"/>
    <w:rsid w:val="005E0F48"/>
    <w:rsid w:val="005E66ED"/>
    <w:rsid w:val="005E7907"/>
    <w:rsid w:val="005F00B7"/>
    <w:rsid w:val="005F23E3"/>
    <w:rsid w:val="005F27F4"/>
    <w:rsid w:val="005F2BE3"/>
    <w:rsid w:val="005F2D48"/>
    <w:rsid w:val="005F5923"/>
    <w:rsid w:val="005F744C"/>
    <w:rsid w:val="005F788A"/>
    <w:rsid w:val="005F7E21"/>
    <w:rsid w:val="00601B57"/>
    <w:rsid w:val="0060367B"/>
    <w:rsid w:val="00603E07"/>
    <w:rsid w:val="00604183"/>
    <w:rsid w:val="00605484"/>
    <w:rsid w:val="00605C23"/>
    <w:rsid w:val="00610F8A"/>
    <w:rsid w:val="00611851"/>
    <w:rsid w:val="00611AC0"/>
    <w:rsid w:val="0061203A"/>
    <w:rsid w:val="00612339"/>
    <w:rsid w:val="00612F51"/>
    <w:rsid w:val="00613312"/>
    <w:rsid w:val="00613617"/>
    <w:rsid w:val="00617339"/>
    <w:rsid w:val="00617C40"/>
    <w:rsid w:val="006207B3"/>
    <w:rsid w:val="00622E17"/>
    <w:rsid w:val="00623632"/>
    <w:rsid w:val="00624E6F"/>
    <w:rsid w:val="00630149"/>
    <w:rsid w:val="00631F1D"/>
    <w:rsid w:val="006322FF"/>
    <w:rsid w:val="0063232E"/>
    <w:rsid w:val="00634B3A"/>
    <w:rsid w:val="0063511A"/>
    <w:rsid w:val="00636B36"/>
    <w:rsid w:val="00636E22"/>
    <w:rsid w:val="00637273"/>
    <w:rsid w:val="00643748"/>
    <w:rsid w:val="0064460C"/>
    <w:rsid w:val="00645B02"/>
    <w:rsid w:val="0064677F"/>
    <w:rsid w:val="00647047"/>
    <w:rsid w:val="00651A51"/>
    <w:rsid w:val="00652691"/>
    <w:rsid w:val="00653614"/>
    <w:rsid w:val="0065477F"/>
    <w:rsid w:val="00655393"/>
    <w:rsid w:val="006559B9"/>
    <w:rsid w:val="00656925"/>
    <w:rsid w:val="00656C34"/>
    <w:rsid w:val="0066155A"/>
    <w:rsid w:val="00661BEF"/>
    <w:rsid w:val="006648AF"/>
    <w:rsid w:val="006703FC"/>
    <w:rsid w:val="006710C6"/>
    <w:rsid w:val="00671DDF"/>
    <w:rsid w:val="006732A4"/>
    <w:rsid w:val="0067562A"/>
    <w:rsid w:val="00676052"/>
    <w:rsid w:val="00677267"/>
    <w:rsid w:val="00677E36"/>
    <w:rsid w:val="0068702D"/>
    <w:rsid w:val="00690BCB"/>
    <w:rsid w:val="006910DD"/>
    <w:rsid w:val="00693327"/>
    <w:rsid w:val="006936C8"/>
    <w:rsid w:val="00693DD1"/>
    <w:rsid w:val="00694BC5"/>
    <w:rsid w:val="00695235"/>
    <w:rsid w:val="00695A20"/>
    <w:rsid w:val="006A01A1"/>
    <w:rsid w:val="006A059A"/>
    <w:rsid w:val="006A34CE"/>
    <w:rsid w:val="006A4EF0"/>
    <w:rsid w:val="006A7D58"/>
    <w:rsid w:val="006B5635"/>
    <w:rsid w:val="006B76CC"/>
    <w:rsid w:val="006C2EED"/>
    <w:rsid w:val="006C3611"/>
    <w:rsid w:val="006C3620"/>
    <w:rsid w:val="006C5958"/>
    <w:rsid w:val="006C6FEC"/>
    <w:rsid w:val="006D1AA6"/>
    <w:rsid w:val="006D2E33"/>
    <w:rsid w:val="006D3AC0"/>
    <w:rsid w:val="006D46A4"/>
    <w:rsid w:val="006D5CD1"/>
    <w:rsid w:val="006E0E0D"/>
    <w:rsid w:val="006E2BFB"/>
    <w:rsid w:val="006E4231"/>
    <w:rsid w:val="006E4E0E"/>
    <w:rsid w:val="006E6B42"/>
    <w:rsid w:val="006E7083"/>
    <w:rsid w:val="006F03A2"/>
    <w:rsid w:val="006F29DE"/>
    <w:rsid w:val="006F53FD"/>
    <w:rsid w:val="006F69EC"/>
    <w:rsid w:val="006F6AE8"/>
    <w:rsid w:val="006F7F0B"/>
    <w:rsid w:val="00703A85"/>
    <w:rsid w:val="00704A7F"/>
    <w:rsid w:val="00705AFB"/>
    <w:rsid w:val="007063D2"/>
    <w:rsid w:val="007077A8"/>
    <w:rsid w:val="00707D9F"/>
    <w:rsid w:val="0071029C"/>
    <w:rsid w:val="007109DF"/>
    <w:rsid w:val="00711531"/>
    <w:rsid w:val="0071219A"/>
    <w:rsid w:val="00713901"/>
    <w:rsid w:val="00713C37"/>
    <w:rsid w:val="00715FBC"/>
    <w:rsid w:val="0071642B"/>
    <w:rsid w:val="00717028"/>
    <w:rsid w:val="00721D7D"/>
    <w:rsid w:val="00725368"/>
    <w:rsid w:val="00726966"/>
    <w:rsid w:val="00731802"/>
    <w:rsid w:val="007334BF"/>
    <w:rsid w:val="007416D2"/>
    <w:rsid w:val="00743673"/>
    <w:rsid w:val="00743E97"/>
    <w:rsid w:val="00747C6F"/>
    <w:rsid w:val="00751851"/>
    <w:rsid w:val="00752660"/>
    <w:rsid w:val="00753B21"/>
    <w:rsid w:val="007551E8"/>
    <w:rsid w:val="007603E3"/>
    <w:rsid w:val="007616F0"/>
    <w:rsid w:val="00761E79"/>
    <w:rsid w:val="0076361A"/>
    <w:rsid w:val="00765190"/>
    <w:rsid w:val="007660B0"/>
    <w:rsid w:val="007667F6"/>
    <w:rsid w:val="00774B6C"/>
    <w:rsid w:val="00774E74"/>
    <w:rsid w:val="00775653"/>
    <w:rsid w:val="00776447"/>
    <w:rsid w:val="007773E8"/>
    <w:rsid w:val="0077772D"/>
    <w:rsid w:val="00777F92"/>
    <w:rsid w:val="00780EBE"/>
    <w:rsid w:val="0078114F"/>
    <w:rsid w:val="007836AE"/>
    <w:rsid w:val="00785F2E"/>
    <w:rsid w:val="0079107E"/>
    <w:rsid w:val="007920F6"/>
    <w:rsid w:val="00793100"/>
    <w:rsid w:val="007956AF"/>
    <w:rsid w:val="007A3BD8"/>
    <w:rsid w:val="007A3DB6"/>
    <w:rsid w:val="007A5192"/>
    <w:rsid w:val="007A6902"/>
    <w:rsid w:val="007A6D92"/>
    <w:rsid w:val="007B017B"/>
    <w:rsid w:val="007B35AF"/>
    <w:rsid w:val="007B4F5E"/>
    <w:rsid w:val="007B581D"/>
    <w:rsid w:val="007B6C9A"/>
    <w:rsid w:val="007B78AF"/>
    <w:rsid w:val="007B7A85"/>
    <w:rsid w:val="007C0D15"/>
    <w:rsid w:val="007C1930"/>
    <w:rsid w:val="007C297C"/>
    <w:rsid w:val="007C5767"/>
    <w:rsid w:val="007C7601"/>
    <w:rsid w:val="007C7B3A"/>
    <w:rsid w:val="007D029E"/>
    <w:rsid w:val="007D1965"/>
    <w:rsid w:val="007D40D0"/>
    <w:rsid w:val="007D6966"/>
    <w:rsid w:val="007E2FD2"/>
    <w:rsid w:val="007E4DE6"/>
    <w:rsid w:val="007F1519"/>
    <w:rsid w:val="007F2562"/>
    <w:rsid w:val="007F3069"/>
    <w:rsid w:val="007F40A1"/>
    <w:rsid w:val="007F52BB"/>
    <w:rsid w:val="007F7D9D"/>
    <w:rsid w:val="00801BBD"/>
    <w:rsid w:val="00805AA2"/>
    <w:rsid w:val="0080711B"/>
    <w:rsid w:val="00807742"/>
    <w:rsid w:val="00807F01"/>
    <w:rsid w:val="00812024"/>
    <w:rsid w:val="008132C0"/>
    <w:rsid w:val="00814999"/>
    <w:rsid w:val="00815830"/>
    <w:rsid w:val="0081692B"/>
    <w:rsid w:val="00824312"/>
    <w:rsid w:val="008243D6"/>
    <w:rsid w:val="00825026"/>
    <w:rsid w:val="00825B39"/>
    <w:rsid w:val="00831605"/>
    <w:rsid w:val="00831A93"/>
    <w:rsid w:val="00831D52"/>
    <w:rsid w:val="00833F1E"/>
    <w:rsid w:val="00834323"/>
    <w:rsid w:val="00835750"/>
    <w:rsid w:val="00835EB4"/>
    <w:rsid w:val="00841500"/>
    <w:rsid w:val="008426A9"/>
    <w:rsid w:val="00844645"/>
    <w:rsid w:val="00844A66"/>
    <w:rsid w:val="00844C10"/>
    <w:rsid w:val="00844DE4"/>
    <w:rsid w:val="00845651"/>
    <w:rsid w:val="00846CCE"/>
    <w:rsid w:val="00847F55"/>
    <w:rsid w:val="008515B4"/>
    <w:rsid w:val="00852845"/>
    <w:rsid w:val="00857527"/>
    <w:rsid w:val="00857BFA"/>
    <w:rsid w:val="0086070B"/>
    <w:rsid w:val="00860EA6"/>
    <w:rsid w:val="00860F51"/>
    <w:rsid w:val="00861F34"/>
    <w:rsid w:val="00862587"/>
    <w:rsid w:val="00862DEA"/>
    <w:rsid w:val="00864051"/>
    <w:rsid w:val="00864268"/>
    <w:rsid w:val="008666CD"/>
    <w:rsid w:val="00866744"/>
    <w:rsid w:val="008704DA"/>
    <w:rsid w:val="00871191"/>
    <w:rsid w:val="008731C1"/>
    <w:rsid w:val="00875A8E"/>
    <w:rsid w:val="008773B5"/>
    <w:rsid w:val="00880544"/>
    <w:rsid w:val="00881169"/>
    <w:rsid w:val="008912CB"/>
    <w:rsid w:val="00891D3B"/>
    <w:rsid w:val="00892242"/>
    <w:rsid w:val="0089252F"/>
    <w:rsid w:val="00892568"/>
    <w:rsid w:val="008936A5"/>
    <w:rsid w:val="00893EAE"/>
    <w:rsid w:val="0089681E"/>
    <w:rsid w:val="008A047D"/>
    <w:rsid w:val="008A0E6A"/>
    <w:rsid w:val="008A1D02"/>
    <w:rsid w:val="008A4A6C"/>
    <w:rsid w:val="008B0335"/>
    <w:rsid w:val="008B1EE6"/>
    <w:rsid w:val="008B2506"/>
    <w:rsid w:val="008B4848"/>
    <w:rsid w:val="008B4B25"/>
    <w:rsid w:val="008B5B6D"/>
    <w:rsid w:val="008B5D48"/>
    <w:rsid w:val="008B6494"/>
    <w:rsid w:val="008C0A54"/>
    <w:rsid w:val="008C1480"/>
    <w:rsid w:val="008C3EC9"/>
    <w:rsid w:val="008C5C73"/>
    <w:rsid w:val="008C6B8F"/>
    <w:rsid w:val="008D004E"/>
    <w:rsid w:val="008D0A35"/>
    <w:rsid w:val="008D27CC"/>
    <w:rsid w:val="008D2C61"/>
    <w:rsid w:val="008D2CF9"/>
    <w:rsid w:val="008D42B7"/>
    <w:rsid w:val="008D683C"/>
    <w:rsid w:val="008D7C4A"/>
    <w:rsid w:val="008E137C"/>
    <w:rsid w:val="008E317E"/>
    <w:rsid w:val="008E385C"/>
    <w:rsid w:val="008E4AC0"/>
    <w:rsid w:val="008E4FF4"/>
    <w:rsid w:val="008E5324"/>
    <w:rsid w:val="008E5390"/>
    <w:rsid w:val="008E5715"/>
    <w:rsid w:val="008E5D70"/>
    <w:rsid w:val="008E6D98"/>
    <w:rsid w:val="008F02C0"/>
    <w:rsid w:val="008F08C7"/>
    <w:rsid w:val="008F2520"/>
    <w:rsid w:val="008F31FF"/>
    <w:rsid w:val="008F32D8"/>
    <w:rsid w:val="008F3464"/>
    <w:rsid w:val="008F455C"/>
    <w:rsid w:val="008F5A20"/>
    <w:rsid w:val="008F5FF5"/>
    <w:rsid w:val="008F6DE4"/>
    <w:rsid w:val="008F79E7"/>
    <w:rsid w:val="009061BB"/>
    <w:rsid w:val="00910595"/>
    <w:rsid w:val="00914FC6"/>
    <w:rsid w:val="0091509E"/>
    <w:rsid w:val="0091543C"/>
    <w:rsid w:val="00915D27"/>
    <w:rsid w:val="009165BE"/>
    <w:rsid w:val="009166A4"/>
    <w:rsid w:val="00917758"/>
    <w:rsid w:val="00921585"/>
    <w:rsid w:val="009219C1"/>
    <w:rsid w:val="00922666"/>
    <w:rsid w:val="00922C25"/>
    <w:rsid w:val="009233E3"/>
    <w:rsid w:val="00925205"/>
    <w:rsid w:val="009308B9"/>
    <w:rsid w:val="00930AFD"/>
    <w:rsid w:val="009328C6"/>
    <w:rsid w:val="00933CC7"/>
    <w:rsid w:val="00933ED1"/>
    <w:rsid w:val="00934139"/>
    <w:rsid w:val="0093496E"/>
    <w:rsid w:val="00937A30"/>
    <w:rsid w:val="00952136"/>
    <w:rsid w:val="00954017"/>
    <w:rsid w:val="009548D8"/>
    <w:rsid w:val="00955B60"/>
    <w:rsid w:val="00956AFF"/>
    <w:rsid w:val="00957004"/>
    <w:rsid w:val="009571A3"/>
    <w:rsid w:val="009573C1"/>
    <w:rsid w:val="00957BFC"/>
    <w:rsid w:val="00957C72"/>
    <w:rsid w:val="009624CC"/>
    <w:rsid w:val="00962AC5"/>
    <w:rsid w:val="00963AA6"/>
    <w:rsid w:val="00966326"/>
    <w:rsid w:val="00966BCF"/>
    <w:rsid w:val="00966C53"/>
    <w:rsid w:val="00973430"/>
    <w:rsid w:val="0097435C"/>
    <w:rsid w:val="00975DA3"/>
    <w:rsid w:val="00976DF4"/>
    <w:rsid w:val="00977964"/>
    <w:rsid w:val="009813DA"/>
    <w:rsid w:val="00981F4D"/>
    <w:rsid w:val="009827F0"/>
    <w:rsid w:val="00982B38"/>
    <w:rsid w:val="009839A6"/>
    <w:rsid w:val="00985938"/>
    <w:rsid w:val="0098607B"/>
    <w:rsid w:val="009861ED"/>
    <w:rsid w:val="009861F5"/>
    <w:rsid w:val="009877D6"/>
    <w:rsid w:val="00991552"/>
    <w:rsid w:val="00991956"/>
    <w:rsid w:val="00993BCD"/>
    <w:rsid w:val="00995632"/>
    <w:rsid w:val="00996719"/>
    <w:rsid w:val="00997A67"/>
    <w:rsid w:val="00997C1F"/>
    <w:rsid w:val="009A117A"/>
    <w:rsid w:val="009A1274"/>
    <w:rsid w:val="009A29C7"/>
    <w:rsid w:val="009A5AA1"/>
    <w:rsid w:val="009A7074"/>
    <w:rsid w:val="009B02C2"/>
    <w:rsid w:val="009B32EA"/>
    <w:rsid w:val="009B53FA"/>
    <w:rsid w:val="009B617D"/>
    <w:rsid w:val="009B6C5E"/>
    <w:rsid w:val="009B71A0"/>
    <w:rsid w:val="009B79DF"/>
    <w:rsid w:val="009C01F5"/>
    <w:rsid w:val="009C3613"/>
    <w:rsid w:val="009C4821"/>
    <w:rsid w:val="009C6125"/>
    <w:rsid w:val="009C68A6"/>
    <w:rsid w:val="009C6F37"/>
    <w:rsid w:val="009C721D"/>
    <w:rsid w:val="009C798B"/>
    <w:rsid w:val="009D33EF"/>
    <w:rsid w:val="009D5487"/>
    <w:rsid w:val="009D5779"/>
    <w:rsid w:val="009D6D11"/>
    <w:rsid w:val="009E1F5D"/>
    <w:rsid w:val="009E2B9E"/>
    <w:rsid w:val="009E5E4C"/>
    <w:rsid w:val="009E6B51"/>
    <w:rsid w:val="009F07B3"/>
    <w:rsid w:val="009F105E"/>
    <w:rsid w:val="009F27A9"/>
    <w:rsid w:val="009F28ED"/>
    <w:rsid w:val="009F4185"/>
    <w:rsid w:val="009F64E7"/>
    <w:rsid w:val="009F7176"/>
    <w:rsid w:val="00A0007F"/>
    <w:rsid w:val="00A0057B"/>
    <w:rsid w:val="00A01B83"/>
    <w:rsid w:val="00A03016"/>
    <w:rsid w:val="00A034A2"/>
    <w:rsid w:val="00A03930"/>
    <w:rsid w:val="00A05FA9"/>
    <w:rsid w:val="00A061D9"/>
    <w:rsid w:val="00A0717B"/>
    <w:rsid w:val="00A078B2"/>
    <w:rsid w:val="00A07AAF"/>
    <w:rsid w:val="00A07D66"/>
    <w:rsid w:val="00A11015"/>
    <w:rsid w:val="00A11121"/>
    <w:rsid w:val="00A131F2"/>
    <w:rsid w:val="00A14744"/>
    <w:rsid w:val="00A16E58"/>
    <w:rsid w:val="00A172D0"/>
    <w:rsid w:val="00A20B98"/>
    <w:rsid w:val="00A222EE"/>
    <w:rsid w:val="00A24610"/>
    <w:rsid w:val="00A25715"/>
    <w:rsid w:val="00A25BDA"/>
    <w:rsid w:val="00A25E65"/>
    <w:rsid w:val="00A26607"/>
    <w:rsid w:val="00A272DE"/>
    <w:rsid w:val="00A27346"/>
    <w:rsid w:val="00A27538"/>
    <w:rsid w:val="00A312BE"/>
    <w:rsid w:val="00A31A1E"/>
    <w:rsid w:val="00A323AC"/>
    <w:rsid w:val="00A33BCF"/>
    <w:rsid w:val="00A33F8D"/>
    <w:rsid w:val="00A34C76"/>
    <w:rsid w:val="00A35BA8"/>
    <w:rsid w:val="00A374F9"/>
    <w:rsid w:val="00A442DF"/>
    <w:rsid w:val="00A4578B"/>
    <w:rsid w:val="00A46CC4"/>
    <w:rsid w:val="00A53BB8"/>
    <w:rsid w:val="00A54961"/>
    <w:rsid w:val="00A56BF7"/>
    <w:rsid w:val="00A608D7"/>
    <w:rsid w:val="00A60983"/>
    <w:rsid w:val="00A6186D"/>
    <w:rsid w:val="00A648FE"/>
    <w:rsid w:val="00A67A78"/>
    <w:rsid w:val="00A714C8"/>
    <w:rsid w:val="00A74EB7"/>
    <w:rsid w:val="00A75F3B"/>
    <w:rsid w:val="00A76CA9"/>
    <w:rsid w:val="00A802DD"/>
    <w:rsid w:val="00A81BDD"/>
    <w:rsid w:val="00A83111"/>
    <w:rsid w:val="00A83ED0"/>
    <w:rsid w:val="00A85BD8"/>
    <w:rsid w:val="00A86D17"/>
    <w:rsid w:val="00A90C4E"/>
    <w:rsid w:val="00A930DC"/>
    <w:rsid w:val="00A948F3"/>
    <w:rsid w:val="00A964DD"/>
    <w:rsid w:val="00AA18F0"/>
    <w:rsid w:val="00AA2627"/>
    <w:rsid w:val="00AA3A8C"/>
    <w:rsid w:val="00AA4100"/>
    <w:rsid w:val="00AA5DCE"/>
    <w:rsid w:val="00AB2CAA"/>
    <w:rsid w:val="00AB2E91"/>
    <w:rsid w:val="00AB311D"/>
    <w:rsid w:val="00AB58A4"/>
    <w:rsid w:val="00AB59B9"/>
    <w:rsid w:val="00AB6AB1"/>
    <w:rsid w:val="00AB77EE"/>
    <w:rsid w:val="00AC1B74"/>
    <w:rsid w:val="00AC4BA8"/>
    <w:rsid w:val="00AC5FA6"/>
    <w:rsid w:val="00AC6294"/>
    <w:rsid w:val="00AD015E"/>
    <w:rsid w:val="00AD151A"/>
    <w:rsid w:val="00AD1A4E"/>
    <w:rsid w:val="00AD2EF4"/>
    <w:rsid w:val="00AD3855"/>
    <w:rsid w:val="00AD6A65"/>
    <w:rsid w:val="00AD71E8"/>
    <w:rsid w:val="00AD7C2C"/>
    <w:rsid w:val="00AD7F0B"/>
    <w:rsid w:val="00AE03E0"/>
    <w:rsid w:val="00AE1A40"/>
    <w:rsid w:val="00AE26BE"/>
    <w:rsid w:val="00AE2975"/>
    <w:rsid w:val="00AE3A34"/>
    <w:rsid w:val="00AE4668"/>
    <w:rsid w:val="00AE480D"/>
    <w:rsid w:val="00AE4F29"/>
    <w:rsid w:val="00AE6E4A"/>
    <w:rsid w:val="00AF0886"/>
    <w:rsid w:val="00AF6CEC"/>
    <w:rsid w:val="00B0025E"/>
    <w:rsid w:val="00B038EA"/>
    <w:rsid w:val="00B04382"/>
    <w:rsid w:val="00B0669E"/>
    <w:rsid w:val="00B1162F"/>
    <w:rsid w:val="00B14158"/>
    <w:rsid w:val="00B160A6"/>
    <w:rsid w:val="00B171B5"/>
    <w:rsid w:val="00B212C0"/>
    <w:rsid w:val="00B2152A"/>
    <w:rsid w:val="00B23273"/>
    <w:rsid w:val="00B2386A"/>
    <w:rsid w:val="00B27B3A"/>
    <w:rsid w:val="00B307E5"/>
    <w:rsid w:val="00B361B6"/>
    <w:rsid w:val="00B365AC"/>
    <w:rsid w:val="00B372D5"/>
    <w:rsid w:val="00B40DD1"/>
    <w:rsid w:val="00B41C5C"/>
    <w:rsid w:val="00B51088"/>
    <w:rsid w:val="00B519F5"/>
    <w:rsid w:val="00B528DC"/>
    <w:rsid w:val="00B56C0B"/>
    <w:rsid w:val="00B570FD"/>
    <w:rsid w:val="00B575E9"/>
    <w:rsid w:val="00B579FA"/>
    <w:rsid w:val="00B623AA"/>
    <w:rsid w:val="00B62637"/>
    <w:rsid w:val="00B652C3"/>
    <w:rsid w:val="00B659A4"/>
    <w:rsid w:val="00B67264"/>
    <w:rsid w:val="00B67A70"/>
    <w:rsid w:val="00B7133F"/>
    <w:rsid w:val="00B714D6"/>
    <w:rsid w:val="00B779F3"/>
    <w:rsid w:val="00B809C1"/>
    <w:rsid w:val="00B8328C"/>
    <w:rsid w:val="00B845B0"/>
    <w:rsid w:val="00B85FED"/>
    <w:rsid w:val="00B86AC7"/>
    <w:rsid w:val="00B87A1A"/>
    <w:rsid w:val="00B87D91"/>
    <w:rsid w:val="00B92759"/>
    <w:rsid w:val="00B953D4"/>
    <w:rsid w:val="00B95A59"/>
    <w:rsid w:val="00B97055"/>
    <w:rsid w:val="00BA0405"/>
    <w:rsid w:val="00BA22C2"/>
    <w:rsid w:val="00BA2A6C"/>
    <w:rsid w:val="00BA33F7"/>
    <w:rsid w:val="00BA3B42"/>
    <w:rsid w:val="00BA578D"/>
    <w:rsid w:val="00BA71CA"/>
    <w:rsid w:val="00BA7FD6"/>
    <w:rsid w:val="00BB0FA0"/>
    <w:rsid w:val="00BB4A75"/>
    <w:rsid w:val="00BB7255"/>
    <w:rsid w:val="00BB737C"/>
    <w:rsid w:val="00BB7F10"/>
    <w:rsid w:val="00BC04AE"/>
    <w:rsid w:val="00BC0561"/>
    <w:rsid w:val="00BC1E2E"/>
    <w:rsid w:val="00BC2B06"/>
    <w:rsid w:val="00BC5472"/>
    <w:rsid w:val="00BC5A9D"/>
    <w:rsid w:val="00BC68C2"/>
    <w:rsid w:val="00BC6CF1"/>
    <w:rsid w:val="00BC6E5A"/>
    <w:rsid w:val="00BC7B98"/>
    <w:rsid w:val="00BD000C"/>
    <w:rsid w:val="00BD08FF"/>
    <w:rsid w:val="00BD40C7"/>
    <w:rsid w:val="00BD5C8B"/>
    <w:rsid w:val="00BD6961"/>
    <w:rsid w:val="00BE120D"/>
    <w:rsid w:val="00BE2DBD"/>
    <w:rsid w:val="00BE37C4"/>
    <w:rsid w:val="00BE4782"/>
    <w:rsid w:val="00BE4E43"/>
    <w:rsid w:val="00BE5747"/>
    <w:rsid w:val="00BE5893"/>
    <w:rsid w:val="00BF11D0"/>
    <w:rsid w:val="00BF13AE"/>
    <w:rsid w:val="00BF4A31"/>
    <w:rsid w:val="00BF6301"/>
    <w:rsid w:val="00BF7FD8"/>
    <w:rsid w:val="00C0006D"/>
    <w:rsid w:val="00C003BB"/>
    <w:rsid w:val="00C0189A"/>
    <w:rsid w:val="00C038F9"/>
    <w:rsid w:val="00C0622B"/>
    <w:rsid w:val="00C12A95"/>
    <w:rsid w:val="00C12B8C"/>
    <w:rsid w:val="00C14B0D"/>
    <w:rsid w:val="00C20CA5"/>
    <w:rsid w:val="00C239C3"/>
    <w:rsid w:val="00C24C1A"/>
    <w:rsid w:val="00C266A3"/>
    <w:rsid w:val="00C273AE"/>
    <w:rsid w:val="00C27917"/>
    <w:rsid w:val="00C345DE"/>
    <w:rsid w:val="00C3528F"/>
    <w:rsid w:val="00C379D9"/>
    <w:rsid w:val="00C42096"/>
    <w:rsid w:val="00C45A32"/>
    <w:rsid w:val="00C45D4F"/>
    <w:rsid w:val="00C504A9"/>
    <w:rsid w:val="00C61468"/>
    <w:rsid w:val="00C664A2"/>
    <w:rsid w:val="00C66FCE"/>
    <w:rsid w:val="00C673F4"/>
    <w:rsid w:val="00C71B4A"/>
    <w:rsid w:val="00C72C46"/>
    <w:rsid w:val="00C72DC2"/>
    <w:rsid w:val="00C72DC5"/>
    <w:rsid w:val="00C7324A"/>
    <w:rsid w:val="00C73FBD"/>
    <w:rsid w:val="00C7405F"/>
    <w:rsid w:val="00C75B82"/>
    <w:rsid w:val="00C75CA0"/>
    <w:rsid w:val="00C761F3"/>
    <w:rsid w:val="00C76F73"/>
    <w:rsid w:val="00C8005B"/>
    <w:rsid w:val="00C80AA7"/>
    <w:rsid w:val="00C82957"/>
    <w:rsid w:val="00C82A9A"/>
    <w:rsid w:val="00C83E91"/>
    <w:rsid w:val="00C90141"/>
    <w:rsid w:val="00C909CB"/>
    <w:rsid w:val="00C91911"/>
    <w:rsid w:val="00C92219"/>
    <w:rsid w:val="00C92B28"/>
    <w:rsid w:val="00C93F2A"/>
    <w:rsid w:val="00C95586"/>
    <w:rsid w:val="00CA1546"/>
    <w:rsid w:val="00CA23BD"/>
    <w:rsid w:val="00CA35FB"/>
    <w:rsid w:val="00CA3E4E"/>
    <w:rsid w:val="00CA4284"/>
    <w:rsid w:val="00CA42A5"/>
    <w:rsid w:val="00CA5E2B"/>
    <w:rsid w:val="00CA60E1"/>
    <w:rsid w:val="00CA7287"/>
    <w:rsid w:val="00CA7291"/>
    <w:rsid w:val="00CA7390"/>
    <w:rsid w:val="00CA74D7"/>
    <w:rsid w:val="00CA77E5"/>
    <w:rsid w:val="00CA7C7B"/>
    <w:rsid w:val="00CB1BFC"/>
    <w:rsid w:val="00CB1F98"/>
    <w:rsid w:val="00CB3D82"/>
    <w:rsid w:val="00CB4519"/>
    <w:rsid w:val="00CB48BE"/>
    <w:rsid w:val="00CB4DDA"/>
    <w:rsid w:val="00CB50F5"/>
    <w:rsid w:val="00CB699D"/>
    <w:rsid w:val="00CB7840"/>
    <w:rsid w:val="00CC0C2C"/>
    <w:rsid w:val="00CC31A9"/>
    <w:rsid w:val="00CC3AB0"/>
    <w:rsid w:val="00CD014A"/>
    <w:rsid w:val="00CD51B2"/>
    <w:rsid w:val="00CD65CB"/>
    <w:rsid w:val="00CD7091"/>
    <w:rsid w:val="00CD7380"/>
    <w:rsid w:val="00CD73B3"/>
    <w:rsid w:val="00CE0ED2"/>
    <w:rsid w:val="00CE1195"/>
    <w:rsid w:val="00CE1CEF"/>
    <w:rsid w:val="00CE237D"/>
    <w:rsid w:val="00CE2589"/>
    <w:rsid w:val="00CE4062"/>
    <w:rsid w:val="00CE56FA"/>
    <w:rsid w:val="00CE5CBC"/>
    <w:rsid w:val="00CF0FBB"/>
    <w:rsid w:val="00CF3FE9"/>
    <w:rsid w:val="00CF50BB"/>
    <w:rsid w:val="00CF5617"/>
    <w:rsid w:val="00CF6842"/>
    <w:rsid w:val="00CF7679"/>
    <w:rsid w:val="00D0023C"/>
    <w:rsid w:val="00D00D81"/>
    <w:rsid w:val="00D0115C"/>
    <w:rsid w:val="00D03B81"/>
    <w:rsid w:val="00D040E3"/>
    <w:rsid w:val="00D047A5"/>
    <w:rsid w:val="00D06B31"/>
    <w:rsid w:val="00D06EFB"/>
    <w:rsid w:val="00D072D5"/>
    <w:rsid w:val="00D07D4F"/>
    <w:rsid w:val="00D12677"/>
    <w:rsid w:val="00D13B6E"/>
    <w:rsid w:val="00D15E68"/>
    <w:rsid w:val="00D17704"/>
    <w:rsid w:val="00D21080"/>
    <w:rsid w:val="00D23C59"/>
    <w:rsid w:val="00D24411"/>
    <w:rsid w:val="00D310F1"/>
    <w:rsid w:val="00D315B0"/>
    <w:rsid w:val="00D3200C"/>
    <w:rsid w:val="00D33E9B"/>
    <w:rsid w:val="00D367D0"/>
    <w:rsid w:val="00D37AFB"/>
    <w:rsid w:val="00D42C93"/>
    <w:rsid w:val="00D436DD"/>
    <w:rsid w:val="00D43C07"/>
    <w:rsid w:val="00D5000C"/>
    <w:rsid w:val="00D50080"/>
    <w:rsid w:val="00D52246"/>
    <w:rsid w:val="00D52743"/>
    <w:rsid w:val="00D53CC1"/>
    <w:rsid w:val="00D54835"/>
    <w:rsid w:val="00D55758"/>
    <w:rsid w:val="00D5765C"/>
    <w:rsid w:val="00D577A3"/>
    <w:rsid w:val="00D60272"/>
    <w:rsid w:val="00D61A95"/>
    <w:rsid w:val="00D6349E"/>
    <w:rsid w:val="00D6379A"/>
    <w:rsid w:val="00D64002"/>
    <w:rsid w:val="00D65EB2"/>
    <w:rsid w:val="00D66067"/>
    <w:rsid w:val="00D6677D"/>
    <w:rsid w:val="00D66E10"/>
    <w:rsid w:val="00D70889"/>
    <w:rsid w:val="00D72271"/>
    <w:rsid w:val="00D735FD"/>
    <w:rsid w:val="00D74324"/>
    <w:rsid w:val="00D750A0"/>
    <w:rsid w:val="00D76DE7"/>
    <w:rsid w:val="00D804DD"/>
    <w:rsid w:val="00D80FF2"/>
    <w:rsid w:val="00D8258F"/>
    <w:rsid w:val="00D82A01"/>
    <w:rsid w:val="00D91445"/>
    <w:rsid w:val="00D923C4"/>
    <w:rsid w:val="00D9401D"/>
    <w:rsid w:val="00D96444"/>
    <w:rsid w:val="00D97239"/>
    <w:rsid w:val="00DA0100"/>
    <w:rsid w:val="00DA034A"/>
    <w:rsid w:val="00DA0F3E"/>
    <w:rsid w:val="00DA132B"/>
    <w:rsid w:val="00DA2875"/>
    <w:rsid w:val="00DA2886"/>
    <w:rsid w:val="00DA384A"/>
    <w:rsid w:val="00DA3B21"/>
    <w:rsid w:val="00DA6A41"/>
    <w:rsid w:val="00DB1501"/>
    <w:rsid w:val="00DB1B4E"/>
    <w:rsid w:val="00DB41C6"/>
    <w:rsid w:val="00DB5F87"/>
    <w:rsid w:val="00DC0A80"/>
    <w:rsid w:val="00DC3518"/>
    <w:rsid w:val="00DC4236"/>
    <w:rsid w:val="00DC6B0B"/>
    <w:rsid w:val="00DC7290"/>
    <w:rsid w:val="00DD0AD9"/>
    <w:rsid w:val="00DD1693"/>
    <w:rsid w:val="00DD1A69"/>
    <w:rsid w:val="00DD3157"/>
    <w:rsid w:val="00DD3752"/>
    <w:rsid w:val="00DD44C5"/>
    <w:rsid w:val="00DD7857"/>
    <w:rsid w:val="00DD7CFD"/>
    <w:rsid w:val="00DE0443"/>
    <w:rsid w:val="00DE20E2"/>
    <w:rsid w:val="00DE33D2"/>
    <w:rsid w:val="00DE7D71"/>
    <w:rsid w:val="00DF5FD5"/>
    <w:rsid w:val="00DF6EAD"/>
    <w:rsid w:val="00DF723B"/>
    <w:rsid w:val="00E01292"/>
    <w:rsid w:val="00E01B2B"/>
    <w:rsid w:val="00E0215E"/>
    <w:rsid w:val="00E027DC"/>
    <w:rsid w:val="00E03602"/>
    <w:rsid w:val="00E06245"/>
    <w:rsid w:val="00E06FAE"/>
    <w:rsid w:val="00E113AB"/>
    <w:rsid w:val="00E12E23"/>
    <w:rsid w:val="00E13B5B"/>
    <w:rsid w:val="00E145D8"/>
    <w:rsid w:val="00E14A90"/>
    <w:rsid w:val="00E151A6"/>
    <w:rsid w:val="00E1674D"/>
    <w:rsid w:val="00E2164B"/>
    <w:rsid w:val="00E21ABB"/>
    <w:rsid w:val="00E227C4"/>
    <w:rsid w:val="00E229AF"/>
    <w:rsid w:val="00E27D74"/>
    <w:rsid w:val="00E27F5F"/>
    <w:rsid w:val="00E320FB"/>
    <w:rsid w:val="00E346D2"/>
    <w:rsid w:val="00E3745B"/>
    <w:rsid w:val="00E37535"/>
    <w:rsid w:val="00E41AAF"/>
    <w:rsid w:val="00E42807"/>
    <w:rsid w:val="00E42C88"/>
    <w:rsid w:val="00E42D8E"/>
    <w:rsid w:val="00E4616E"/>
    <w:rsid w:val="00E47A90"/>
    <w:rsid w:val="00E5032D"/>
    <w:rsid w:val="00E542C0"/>
    <w:rsid w:val="00E60F11"/>
    <w:rsid w:val="00E625A0"/>
    <w:rsid w:val="00E6679D"/>
    <w:rsid w:val="00E6730A"/>
    <w:rsid w:val="00E67FAB"/>
    <w:rsid w:val="00E7023F"/>
    <w:rsid w:val="00E72B09"/>
    <w:rsid w:val="00E73AFD"/>
    <w:rsid w:val="00E74441"/>
    <w:rsid w:val="00E74ADF"/>
    <w:rsid w:val="00E8078A"/>
    <w:rsid w:val="00E81A1F"/>
    <w:rsid w:val="00E85479"/>
    <w:rsid w:val="00E861EE"/>
    <w:rsid w:val="00E862CC"/>
    <w:rsid w:val="00E90D74"/>
    <w:rsid w:val="00E9210C"/>
    <w:rsid w:val="00E92AA8"/>
    <w:rsid w:val="00E93F5D"/>
    <w:rsid w:val="00E953DF"/>
    <w:rsid w:val="00E97092"/>
    <w:rsid w:val="00E971E9"/>
    <w:rsid w:val="00EA10A5"/>
    <w:rsid w:val="00EA27F9"/>
    <w:rsid w:val="00EA2D24"/>
    <w:rsid w:val="00EA3FD9"/>
    <w:rsid w:val="00EB0734"/>
    <w:rsid w:val="00EB1FA5"/>
    <w:rsid w:val="00EB2603"/>
    <w:rsid w:val="00EB43C0"/>
    <w:rsid w:val="00EB4D35"/>
    <w:rsid w:val="00EB630E"/>
    <w:rsid w:val="00EB769E"/>
    <w:rsid w:val="00EB7E17"/>
    <w:rsid w:val="00EC1F8E"/>
    <w:rsid w:val="00EC22F3"/>
    <w:rsid w:val="00EC2D60"/>
    <w:rsid w:val="00EC51E7"/>
    <w:rsid w:val="00EC646E"/>
    <w:rsid w:val="00ED05A7"/>
    <w:rsid w:val="00ED0B6D"/>
    <w:rsid w:val="00ED0EF0"/>
    <w:rsid w:val="00ED2DEF"/>
    <w:rsid w:val="00ED2EA6"/>
    <w:rsid w:val="00ED32A9"/>
    <w:rsid w:val="00ED3575"/>
    <w:rsid w:val="00ED4A40"/>
    <w:rsid w:val="00ED5445"/>
    <w:rsid w:val="00ED7473"/>
    <w:rsid w:val="00EE0F94"/>
    <w:rsid w:val="00EE2C5D"/>
    <w:rsid w:val="00EE3206"/>
    <w:rsid w:val="00EE59E6"/>
    <w:rsid w:val="00EE6B71"/>
    <w:rsid w:val="00EE75BC"/>
    <w:rsid w:val="00EE7726"/>
    <w:rsid w:val="00EF0713"/>
    <w:rsid w:val="00EF186A"/>
    <w:rsid w:val="00EF2EA7"/>
    <w:rsid w:val="00EF3F7D"/>
    <w:rsid w:val="00EF4A31"/>
    <w:rsid w:val="00F00B9E"/>
    <w:rsid w:val="00F00DA9"/>
    <w:rsid w:val="00F030A5"/>
    <w:rsid w:val="00F045F3"/>
    <w:rsid w:val="00F056EB"/>
    <w:rsid w:val="00F138D3"/>
    <w:rsid w:val="00F149A6"/>
    <w:rsid w:val="00F14DAA"/>
    <w:rsid w:val="00F14ED9"/>
    <w:rsid w:val="00F17185"/>
    <w:rsid w:val="00F17343"/>
    <w:rsid w:val="00F17412"/>
    <w:rsid w:val="00F20848"/>
    <w:rsid w:val="00F20B35"/>
    <w:rsid w:val="00F20B76"/>
    <w:rsid w:val="00F22D7C"/>
    <w:rsid w:val="00F25232"/>
    <w:rsid w:val="00F31963"/>
    <w:rsid w:val="00F31E50"/>
    <w:rsid w:val="00F33836"/>
    <w:rsid w:val="00F345E6"/>
    <w:rsid w:val="00F352B1"/>
    <w:rsid w:val="00F35839"/>
    <w:rsid w:val="00F41240"/>
    <w:rsid w:val="00F42250"/>
    <w:rsid w:val="00F426CD"/>
    <w:rsid w:val="00F42B8B"/>
    <w:rsid w:val="00F432B8"/>
    <w:rsid w:val="00F44D06"/>
    <w:rsid w:val="00F44F25"/>
    <w:rsid w:val="00F46A74"/>
    <w:rsid w:val="00F46DD4"/>
    <w:rsid w:val="00F46DEA"/>
    <w:rsid w:val="00F5174D"/>
    <w:rsid w:val="00F5176B"/>
    <w:rsid w:val="00F517D5"/>
    <w:rsid w:val="00F51F37"/>
    <w:rsid w:val="00F6093A"/>
    <w:rsid w:val="00F61C1F"/>
    <w:rsid w:val="00F622A4"/>
    <w:rsid w:val="00F62670"/>
    <w:rsid w:val="00F62FC9"/>
    <w:rsid w:val="00F63F5B"/>
    <w:rsid w:val="00F66625"/>
    <w:rsid w:val="00F67FA8"/>
    <w:rsid w:val="00F70D9B"/>
    <w:rsid w:val="00F74D33"/>
    <w:rsid w:val="00F7675F"/>
    <w:rsid w:val="00F768D3"/>
    <w:rsid w:val="00F76F1A"/>
    <w:rsid w:val="00F8353E"/>
    <w:rsid w:val="00F86237"/>
    <w:rsid w:val="00F879E2"/>
    <w:rsid w:val="00F87D02"/>
    <w:rsid w:val="00F9085B"/>
    <w:rsid w:val="00F90CBD"/>
    <w:rsid w:val="00F90F47"/>
    <w:rsid w:val="00F927EB"/>
    <w:rsid w:val="00F92EE8"/>
    <w:rsid w:val="00F948DA"/>
    <w:rsid w:val="00F94980"/>
    <w:rsid w:val="00F954D3"/>
    <w:rsid w:val="00FA24B5"/>
    <w:rsid w:val="00FA5B32"/>
    <w:rsid w:val="00FA6AB8"/>
    <w:rsid w:val="00FA7D23"/>
    <w:rsid w:val="00FB3202"/>
    <w:rsid w:val="00FB3F08"/>
    <w:rsid w:val="00FB4D9B"/>
    <w:rsid w:val="00FB57F6"/>
    <w:rsid w:val="00FC05D3"/>
    <w:rsid w:val="00FC0C91"/>
    <w:rsid w:val="00FC2A29"/>
    <w:rsid w:val="00FC3DD0"/>
    <w:rsid w:val="00FC3FF0"/>
    <w:rsid w:val="00FC5028"/>
    <w:rsid w:val="00FC5320"/>
    <w:rsid w:val="00FD12EF"/>
    <w:rsid w:val="00FD1318"/>
    <w:rsid w:val="00FD1CA6"/>
    <w:rsid w:val="00FD5788"/>
    <w:rsid w:val="00FD7173"/>
    <w:rsid w:val="00FE083C"/>
    <w:rsid w:val="00FE13F9"/>
    <w:rsid w:val="00FE248F"/>
    <w:rsid w:val="00FE40F6"/>
    <w:rsid w:val="00FE4C73"/>
    <w:rsid w:val="00FE52D5"/>
    <w:rsid w:val="00FE55BB"/>
    <w:rsid w:val="00FE5F1B"/>
    <w:rsid w:val="00FE7798"/>
    <w:rsid w:val="00FE7CD6"/>
    <w:rsid w:val="00FF22E8"/>
    <w:rsid w:val="00FF24D6"/>
    <w:rsid w:val="00FF2AAA"/>
    <w:rsid w:val="00FF2C1D"/>
    <w:rsid w:val="00FF40D4"/>
    <w:rsid w:val="00FF50E4"/>
    <w:rsid w:val="00FF511A"/>
    <w:rsid w:val="00FF7FCD"/>
    <w:rsid w:val="0183217F"/>
    <w:rsid w:val="04AB60EF"/>
    <w:rsid w:val="076D7821"/>
    <w:rsid w:val="08B1523A"/>
    <w:rsid w:val="0F7615BD"/>
    <w:rsid w:val="10C13D98"/>
    <w:rsid w:val="13C5498D"/>
    <w:rsid w:val="1E045C3F"/>
    <w:rsid w:val="22774680"/>
    <w:rsid w:val="32D26391"/>
    <w:rsid w:val="38E06085"/>
    <w:rsid w:val="41A64A5C"/>
    <w:rsid w:val="5AC60E8C"/>
    <w:rsid w:val="633B79F3"/>
    <w:rsid w:val="656B329F"/>
    <w:rsid w:val="65C23C48"/>
    <w:rsid w:val="6C0A123E"/>
    <w:rsid w:val="7A714412"/>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0" w:semiHidden="0" w:name="Strong"/>
    <w:lsdException w:qFormat="1" w:unhideWhenUsed="0" w:uiPriority="20" w:semiHidden="0" w:name="Emphasis"/>
    <w:lsdException w:qFormat="1"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36"/>
    <w:qFormat/>
    <w:uiPriority w:val="9"/>
    <w:pPr>
      <w:keepNext/>
      <w:keepLines/>
      <w:spacing w:before="100" w:beforeAutospacing="1" w:after="100" w:afterAutospacing="1" w:line="460" w:lineRule="exact"/>
      <w:outlineLvl w:val="0"/>
    </w:pPr>
    <w:rPr>
      <w:rFonts w:eastAsia="仿宋"/>
      <w:b/>
      <w:bCs/>
      <w:kern w:val="44"/>
      <w:sz w:val="24"/>
      <w:szCs w:val="44"/>
    </w:rPr>
  </w:style>
  <w:style w:type="paragraph" w:styleId="3">
    <w:name w:val="heading 2"/>
    <w:basedOn w:val="1"/>
    <w:next w:val="1"/>
    <w:link w:val="38"/>
    <w:unhideWhenUsed/>
    <w:qFormat/>
    <w:uiPriority w:val="9"/>
    <w:pPr>
      <w:keepNext/>
      <w:keepLines/>
      <w:spacing w:before="100" w:beforeAutospacing="1" w:after="100" w:afterAutospacing="1" w:line="460" w:lineRule="exact"/>
      <w:outlineLvl w:val="1"/>
    </w:pPr>
    <w:rPr>
      <w:rFonts w:eastAsia="仿宋" w:asciiTheme="majorHAnsi" w:hAnsiTheme="majorHAnsi" w:cstheme="majorBidi"/>
      <w:b/>
      <w:bCs/>
      <w:sz w:val="24"/>
      <w:szCs w:val="32"/>
    </w:rPr>
  </w:style>
  <w:style w:type="paragraph" w:styleId="4">
    <w:name w:val="heading 4"/>
    <w:basedOn w:val="1"/>
    <w:next w:val="1"/>
    <w:semiHidden/>
    <w:unhideWhenUsed/>
    <w:qFormat/>
    <w:uiPriority w:val="9"/>
    <w:pPr>
      <w:spacing w:beforeAutospacing="1" w:afterAutospacing="1"/>
      <w:jc w:val="left"/>
      <w:outlineLvl w:val="3"/>
    </w:pPr>
    <w:rPr>
      <w:rFonts w:hint="eastAsia" w:ascii="宋体" w:hAnsi="宋体" w:eastAsia="宋体" w:cs="Times New Roman"/>
      <w:b/>
      <w:bCs/>
      <w:kern w:val="0"/>
      <w:sz w:val="24"/>
      <w:szCs w:val="24"/>
    </w:rPr>
  </w:style>
  <w:style w:type="character" w:default="1" w:styleId="17">
    <w:name w:val="Default Paragraph Font"/>
    <w:semiHidden/>
    <w:unhideWhenUsed/>
    <w:qFormat/>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styleId="5">
    <w:name w:val="Document Map"/>
    <w:basedOn w:val="1"/>
    <w:link w:val="39"/>
    <w:semiHidden/>
    <w:unhideWhenUsed/>
    <w:qFormat/>
    <w:uiPriority w:val="99"/>
    <w:rPr>
      <w:rFonts w:ascii="宋体" w:eastAsia="宋体"/>
      <w:sz w:val="18"/>
      <w:szCs w:val="18"/>
    </w:rPr>
  </w:style>
  <w:style w:type="paragraph" w:styleId="6">
    <w:name w:val="annotation text"/>
    <w:basedOn w:val="1"/>
    <w:link w:val="43"/>
    <w:semiHidden/>
    <w:unhideWhenUsed/>
    <w:qFormat/>
    <w:uiPriority w:val="99"/>
    <w:pPr>
      <w:jc w:val="left"/>
    </w:pPr>
  </w:style>
  <w:style w:type="paragraph" w:styleId="7">
    <w:name w:val="Date"/>
    <w:basedOn w:val="1"/>
    <w:next w:val="1"/>
    <w:link w:val="40"/>
    <w:semiHidden/>
    <w:unhideWhenUsed/>
    <w:qFormat/>
    <w:uiPriority w:val="99"/>
    <w:pPr>
      <w:ind w:left="100" w:leftChars="2500"/>
    </w:pPr>
  </w:style>
  <w:style w:type="paragraph" w:styleId="8">
    <w:name w:val="Balloon Text"/>
    <w:basedOn w:val="1"/>
    <w:link w:val="35"/>
    <w:semiHidden/>
    <w:unhideWhenUsed/>
    <w:qFormat/>
    <w:uiPriority w:val="99"/>
    <w:rPr>
      <w:sz w:val="18"/>
      <w:szCs w:val="18"/>
    </w:rPr>
  </w:style>
  <w:style w:type="paragraph" w:styleId="9">
    <w:name w:val="footer"/>
    <w:basedOn w:val="1"/>
    <w:link w:val="22"/>
    <w:unhideWhenUsed/>
    <w:qFormat/>
    <w:uiPriority w:val="99"/>
    <w:pPr>
      <w:tabs>
        <w:tab w:val="center" w:pos="4153"/>
        <w:tab w:val="right" w:pos="8306"/>
      </w:tabs>
      <w:snapToGrid w:val="0"/>
      <w:jc w:val="left"/>
    </w:pPr>
    <w:rPr>
      <w:sz w:val="18"/>
      <w:szCs w:val="18"/>
    </w:rPr>
  </w:style>
  <w:style w:type="paragraph" w:styleId="10">
    <w:name w:val="header"/>
    <w:basedOn w:val="1"/>
    <w:link w:val="21"/>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toc 1"/>
    <w:basedOn w:val="1"/>
    <w:next w:val="1"/>
    <w:unhideWhenUsed/>
    <w:qFormat/>
    <w:uiPriority w:val="39"/>
  </w:style>
  <w:style w:type="paragraph" w:styleId="12">
    <w:name w:val="toc 2"/>
    <w:basedOn w:val="1"/>
    <w:next w:val="1"/>
    <w:unhideWhenUsed/>
    <w:qFormat/>
    <w:uiPriority w:val="39"/>
    <w:pPr>
      <w:ind w:left="420" w:leftChars="200"/>
    </w:pPr>
  </w:style>
  <w:style w:type="paragraph" w:styleId="13">
    <w:name w:val="Normal (Web)"/>
    <w:basedOn w:val="1"/>
    <w:qFormat/>
    <w:uiPriority w:val="99"/>
    <w:pPr>
      <w:spacing w:before="100" w:beforeAutospacing="1" w:after="100" w:afterAutospacing="1"/>
      <w:jc w:val="left"/>
    </w:pPr>
    <w:rPr>
      <w:rFonts w:cs="Times New Roman"/>
      <w:kern w:val="0"/>
      <w:sz w:val="24"/>
      <w:szCs w:val="24"/>
    </w:rPr>
  </w:style>
  <w:style w:type="paragraph" w:styleId="14">
    <w:name w:val="annotation subject"/>
    <w:basedOn w:val="6"/>
    <w:next w:val="6"/>
    <w:link w:val="44"/>
    <w:semiHidden/>
    <w:unhideWhenUsed/>
    <w:qFormat/>
    <w:uiPriority w:val="99"/>
    <w:rPr>
      <w:b/>
      <w:bCs/>
    </w:rPr>
  </w:style>
  <w:style w:type="table" w:styleId="16">
    <w:name w:val="Table Grid"/>
    <w:basedOn w:val="15"/>
    <w:unhideWhenUsed/>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8">
    <w:name w:val="Strong"/>
    <w:basedOn w:val="17"/>
    <w:qFormat/>
    <w:uiPriority w:val="0"/>
    <w:rPr>
      <w:b/>
    </w:rPr>
  </w:style>
  <w:style w:type="character" w:styleId="19">
    <w:name w:val="Hyperlink"/>
    <w:basedOn w:val="17"/>
    <w:unhideWhenUsed/>
    <w:qFormat/>
    <w:uiPriority w:val="99"/>
    <w:rPr>
      <w:color w:val="0000FF" w:themeColor="hyperlink"/>
      <w:u w:val="single"/>
      <w14:textFill>
        <w14:solidFill>
          <w14:schemeClr w14:val="hlink"/>
        </w14:solidFill>
      </w14:textFill>
    </w:rPr>
  </w:style>
  <w:style w:type="character" w:styleId="20">
    <w:name w:val="annotation reference"/>
    <w:basedOn w:val="17"/>
    <w:semiHidden/>
    <w:unhideWhenUsed/>
    <w:qFormat/>
    <w:uiPriority w:val="99"/>
    <w:rPr>
      <w:sz w:val="21"/>
      <w:szCs w:val="21"/>
    </w:rPr>
  </w:style>
  <w:style w:type="character" w:customStyle="1" w:styleId="21">
    <w:name w:val="页眉 Char"/>
    <w:basedOn w:val="17"/>
    <w:link w:val="10"/>
    <w:qFormat/>
    <w:uiPriority w:val="99"/>
    <w:rPr>
      <w:sz w:val="18"/>
      <w:szCs w:val="18"/>
    </w:rPr>
  </w:style>
  <w:style w:type="character" w:customStyle="1" w:styleId="22">
    <w:name w:val="页脚 Char"/>
    <w:basedOn w:val="17"/>
    <w:link w:val="9"/>
    <w:qFormat/>
    <w:uiPriority w:val="99"/>
    <w:rPr>
      <w:sz w:val="18"/>
      <w:szCs w:val="18"/>
    </w:rPr>
  </w:style>
  <w:style w:type="paragraph" w:styleId="23">
    <w:name w:val="List Paragraph"/>
    <w:basedOn w:val="1"/>
    <w:qFormat/>
    <w:uiPriority w:val="34"/>
    <w:pPr>
      <w:ind w:firstLine="420" w:firstLineChars="200"/>
    </w:pPr>
  </w:style>
  <w:style w:type="paragraph" w:customStyle="1" w:styleId="24">
    <w:name w:val="段"/>
    <w:link w:val="25"/>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character" w:customStyle="1" w:styleId="25">
    <w:name w:val="段 Char"/>
    <w:basedOn w:val="17"/>
    <w:link w:val="24"/>
    <w:qFormat/>
    <w:uiPriority w:val="0"/>
    <w:rPr>
      <w:rFonts w:ascii="宋体" w:hAnsi="Times New Roman" w:eastAsia="宋体" w:cs="Times New Roman"/>
      <w:kern w:val="0"/>
      <w:szCs w:val="20"/>
    </w:rPr>
  </w:style>
  <w:style w:type="paragraph" w:customStyle="1" w:styleId="26">
    <w:name w:val="一级条标题"/>
    <w:next w:val="24"/>
    <w:qFormat/>
    <w:uiPriority w:val="0"/>
    <w:pPr>
      <w:numPr>
        <w:ilvl w:val="1"/>
        <w:numId w:val="1"/>
      </w:numPr>
      <w:spacing w:beforeLines="50" w:afterLines="50"/>
      <w:ind w:left="0"/>
      <w:outlineLvl w:val="2"/>
    </w:pPr>
    <w:rPr>
      <w:rFonts w:ascii="黑体" w:hAnsi="Times New Roman" w:eastAsia="黑体" w:cs="Times New Roman"/>
      <w:sz w:val="21"/>
      <w:szCs w:val="21"/>
      <w:lang w:val="en-US" w:eastAsia="zh-CN" w:bidi="ar-SA"/>
    </w:rPr>
  </w:style>
  <w:style w:type="paragraph" w:customStyle="1" w:styleId="27">
    <w:name w:val="章标题"/>
    <w:next w:val="24"/>
    <w:qFormat/>
    <w:uiPriority w:val="0"/>
    <w:pPr>
      <w:numPr>
        <w:ilvl w:val="0"/>
        <w:numId w:val="1"/>
      </w:numPr>
      <w:spacing w:beforeLines="100" w:afterLines="100"/>
      <w:jc w:val="both"/>
      <w:outlineLvl w:val="1"/>
    </w:pPr>
    <w:rPr>
      <w:rFonts w:ascii="黑体" w:hAnsi="Times New Roman" w:eastAsia="黑体" w:cs="Times New Roman"/>
      <w:sz w:val="21"/>
      <w:lang w:val="en-US" w:eastAsia="zh-CN" w:bidi="ar-SA"/>
    </w:rPr>
  </w:style>
  <w:style w:type="paragraph" w:customStyle="1" w:styleId="28">
    <w:name w:val="二级条标题"/>
    <w:basedOn w:val="26"/>
    <w:next w:val="24"/>
    <w:qFormat/>
    <w:uiPriority w:val="0"/>
    <w:pPr>
      <w:numPr>
        <w:ilvl w:val="2"/>
      </w:numPr>
      <w:spacing w:before="50" w:after="50"/>
      <w:outlineLvl w:val="3"/>
    </w:pPr>
  </w:style>
  <w:style w:type="paragraph" w:customStyle="1" w:styleId="29">
    <w:name w:val="三级条标题"/>
    <w:basedOn w:val="28"/>
    <w:next w:val="24"/>
    <w:qFormat/>
    <w:uiPriority w:val="0"/>
    <w:pPr>
      <w:numPr>
        <w:ilvl w:val="3"/>
      </w:numPr>
      <w:outlineLvl w:val="4"/>
    </w:pPr>
  </w:style>
  <w:style w:type="paragraph" w:customStyle="1" w:styleId="30">
    <w:name w:val="数字编号列项（二级）"/>
    <w:qFormat/>
    <w:uiPriority w:val="0"/>
    <w:pPr>
      <w:numPr>
        <w:ilvl w:val="1"/>
        <w:numId w:val="2"/>
      </w:numPr>
      <w:jc w:val="both"/>
    </w:pPr>
    <w:rPr>
      <w:rFonts w:ascii="宋体" w:hAnsi="Times New Roman" w:eastAsia="宋体" w:cs="Times New Roman"/>
      <w:sz w:val="21"/>
      <w:lang w:val="en-US" w:eastAsia="zh-CN" w:bidi="ar-SA"/>
    </w:rPr>
  </w:style>
  <w:style w:type="paragraph" w:customStyle="1" w:styleId="31">
    <w:name w:val="四级条标题"/>
    <w:basedOn w:val="29"/>
    <w:next w:val="24"/>
    <w:qFormat/>
    <w:uiPriority w:val="0"/>
    <w:pPr>
      <w:numPr>
        <w:ilvl w:val="4"/>
      </w:numPr>
      <w:outlineLvl w:val="5"/>
    </w:pPr>
  </w:style>
  <w:style w:type="paragraph" w:customStyle="1" w:styleId="32">
    <w:name w:val="五级条标题"/>
    <w:basedOn w:val="31"/>
    <w:next w:val="24"/>
    <w:qFormat/>
    <w:uiPriority w:val="0"/>
    <w:pPr>
      <w:numPr>
        <w:ilvl w:val="5"/>
      </w:numPr>
      <w:outlineLvl w:val="6"/>
    </w:pPr>
  </w:style>
  <w:style w:type="paragraph" w:customStyle="1" w:styleId="33">
    <w:name w:val="字母编号列项（一级）"/>
    <w:qFormat/>
    <w:uiPriority w:val="0"/>
    <w:pPr>
      <w:numPr>
        <w:ilvl w:val="0"/>
        <w:numId w:val="2"/>
      </w:numPr>
      <w:jc w:val="both"/>
    </w:pPr>
    <w:rPr>
      <w:rFonts w:ascii="宋体" w:hAnsi="Times New Roman" w:eastAsia="宋体" w:cs="Times New Roman"/>
      <w:sz w:val="21"/>
      <w:lang w:val="en-US" w:eastAsia="zh-CN" w:bidi="ar-SA"/>
    </w:rPr>
  </w:style>
  <w:style w:type="paragraph" w:customStyle="1" w:styleId="34">
    <w:name w:val="编号列项（三级）"/>
    <w:qFormat/>
    <w:uiPriority w:val="0"/>
    <w:pPr>
      <w:numPr>
        <w:ilvl w:val="2"/>
        <w:numId w:val="2"/>
      </w:numPr>
    </w:pPr>
    <w:rPr>
      <w:rFonts w:ascii="宋体" w:hAnsi="Times New Roman" w:eastAsia="宋体" w:cs="Times New Roman"/>
      <w:sz w:val="21"/>
      <w:lang w:val="en-US" w:eastAsia="zh-CN" w:bidi="ar-SA"/>
    </w:rPr>
  </w:style>
  <w:style w:type="character" w:customStyle="1" w:styleId="35">
    <w:name w:val="批注框文本 Char"/>
    <w:basedOn w:val="17"/>
    <w:link w:val="8"/>
    <w:semiHidden/>
    <w:qFormat/>
    <w:uiPriority w:val="99"/>
    <w:rPr>
      <w:sz w:val="18"/>
      <w:szCs w:val="18"/>
    </w:rPr>
  </w:style>
  <w:style w:type="character" w:customStyle="1" w:styleId="36">
    <w:name w:val="标题 1 Char"/>
    <w:basedOn w:val="17"/>
    <w:link w:val="2"/>
    <w:qFormat/>
    <w:uiPriority w:val="9"/>
    <w:rPr>
      <w:rFonts w:eastAsia="仿宋"/>
      <w:b/>
      <w:bCs/>
      <w:kern w:val="44"/>
      <w:sz w:val="24"/>
      <w:szCs w:val="44"/>
    </w:rPr>
  </w:style>
  <w:style w:type="paragraph" w:customStyle="1" w:styleId="37">
    <w:name w:val="TOC 标题1"/>
    <w:basedOn w:val="2"/>
    <w:next w:val="1"/>
    <w:unhideWhenUsed/>
    <w:qFormat/>
    <w:uiPriority w:val="39"/>
    <w:pPr>
      <w:widowControl/>
      <w:spacing w:before="480" w:after="0" w:line="276" w:lineRule="auto"/>
      <w:jc w:val="left"/>
      <w:outlineLvl w:val="9"/>
    </w:pPr>
    <w:rPr>
      <w:rFonts w:asciiTheme="majorHAnsi" w:hAnsiTheme="majorHAnsi" w:eastAsiaTheme="majorEastAsia" w:cstheme="majorBidi"/>
      <w:color w:val="376092" w:themeColor="accent1" w:themeShade="BF"/>
      <w:kern w:val="0"/>
      <w:sz w:val="28"/>
      <w:szCs w:val="28"/>
    </w:rPr>
  </w:style>
  <w:style w:type="character" w:customStyle="1" w:styleId="38">
    <w:name w:val="标题 2 Char"/>
    <w:basedOn w:val="17"/>
    <w:link w:val="3"/>
    <w:qFormat/>
    <w:uiPriority w:val="9"/>
    <w:rPr>
      <w:rFonts w:eastAsia="仿宋" w:asciiTheme="majorHAnsi" w:hAnsiTheme="majorHAnsi" w:cstheme="majorBidi"/>
      <w:b/>
      <w:bCs/>
      <w:sz w:val="24"/>
      <w:szCs w:val="32"/>
    </w:rPr>
  </w:style>
  <w:style w:type="character" w:customStyle="1" w:styleId="39">
    <w:name w:val="文档结构图 Char"/>
    <w:basedOn w:val="17"/>
    <w:link w:val="5"/>
    <w:semiHidden/>
    <w:qFormat/>
    <w:uiPriority w:val="99"/>
    <w:rPr>
      <w:rFonts w:ascii="宋体" w:eastAsia="宋体"/>
      <w:sz w:val="18"/>
      <w:szCs w:val="18"/>
    </w:rPr>
  </w:style>
  <w:style w:type="character" w:customStyle="1" w:styleId="40">
    <w:name w:val="日期 Char"/>
    <w:basedOn w:val="17"/>
    <w:link w:val="7"/>
    <w:semiHidden/>
    <w:qFormat/>
    <w:uiPriority w:val="99"/>
  </w:style>
  <w:style w:type="paragraph" w:customStyle="1" w:styleId="41">
    <w:name w:val="标准文件_段"/>
    <w:link w:val="42"/>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character" w:customStyle="1" w:styleId="42">
    <w:name w:val="标准文件_段 Char"/>
    <w:link w:val="41"/>
    <w:qFormat/>
    <w:uiPriority w:val="0"/>
    <w:rPr>
      <w:rFonts w:ascii="宋体" w:hAnsi="Times New Roman" w:eastAsia="宋体" w:cs="Times New Roman"/>
      <w:kern w:val="0"/>
      <w:szCs w:val="20"/>
    </w:rPr>
  </w:style>
  <w:style w:type="character" w:customStyle="1" w:styleId="43">
    <w:name w:val="批注文字 Char"/>
    <w:basedOn w:val="17"/>
    <w:link w:val="6"/>
    <w:semiHidden/>
    <w:qFormat/>
    <w:uiPriority w:val="99"/>
  </w:style>
  <w:style w:type="character" w:customStyle="1" w:styleId="44">
    <w:name w:val="批注主题 Char"/>
    <w:basedOn w:val="43"/>
    <w:link w:val="14"/>
    <w:semiHidden/>
    <w:qFormat/>
    <w:uiPriority w:val="99"/>
    <w:rPr>
      <w:b/>
      <w:bCs/>
    </w:rPr>
  </w:style>
  <w:style w:type="paragraph" w:customStyle="1" w:styleId="45">
    <w:name w:val="Default"/>
    <w:unhideWhenUsed/>
    <w:qFormat/>
    <w:uiPriority w:val="99"/>
    <w:pPr>
      <w:widowControl w:val="0"/>
      <w:autoSpaceDE w:val="0"/>
      <w:autoSpaceDN w:val="0"/>
      <w:adjustRightInd w:val="0"/>
    </w:pPr>
    <w:rPr>
      <w:rFonts w:hint="eastAsia" w:ascii="宋体" w:hAnsi="宋体" w:eastAsia="宋体" w:cs="Times New Roman"/>
      <w:color w:val="000000"/>
      <w:sz w:val="24"/>
      <w:szCs w:val="24"/>
      <w:lang w:val="en-US" w:eastAsia="zh-CN" w:bidi="ar-SA"/>
    </w:rPr>
  </w:style>
  <w:style w:type="paragraph" w:customStyle="1" w:styleId="46">
    <w:name w:val="Body text|1"/>
    <w:basedOn w:val="1"/>
    <w:qFormat/>
    <w:uiPriority w:val="0"/>
    <w:pPr>
      <w:widowControl w:val="0"/>
      <w:shd w:val="clear" w:color="auto" w:fill="auto"/>
      <w:spacing w:line="324" w:lineRule="auto"/>
      <w:ind w:firstLine="400"/>
    </w:pPr>
    <w:rPr>
      <w:rFonts w:ascii="宋体" w:hAnsi="宋体" w:eastAsia="宋体" w:cs="宋体"/>
      <w:sz w:val="20"/>
      <w:szCs w:val="20"/>
      <w:u w:val="none"/>
      <w:shd w:val="clear" w:color="auto" w:fill="auto"/>
      <w:lang w:val="zh-TW" w:eastAsia="zh-TW" w:bidi="zh-TW"/>
    </w:rPr>
  </w:style>
  <w:style w:type="paragraph" w:customStyle="1" w:styleId="47">
    <w:name w:val="默认段落字体 Para Char"/>
    <w:basedOn w:val="1"/>
    <w:qFormat/>
    <w:uiPriority w:val="99"/>
    <w:rPr>
      <w:szCs w:val="24"/>
    </w:rPr>
  </w:style>
</w:style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microsoft.com/office/2006/relationships/keyMapCustomizations" Target="customizations.xml"/><Relationship Id="rId12" Type="http://schemas.openxmlformats.org/officeDocument/2006/relationships/customXml" Target="../customXml/item2.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2FEFCD7-B3EF-4AFF-AEA4-FC0ACA6BE256}">
  <ds:schemaRefs/>
</ds:datastoreItem>
</file>

<file path=docProps/app.xml><?xml version="1.0" encoding="utf-8"?>
<Properties xmlns="http://schemas.openxmlformats.org/officeDocument/2006/extended-properties" xmlns:vt="http://schemas.openxmlformats.org/officeDocument/2006/docPropsVTypes">
  <Template>Normal.dotm</Template>
  <Company>信息管理部</Company>
  <Pages>17</Pages>
  <Words>6190</Words>
  <Characters>6823</Characters>
  <Lines>64</Lines>
  <Paragraphs>18</Paragraphs>
  <TotalTime>13</TotalTime>
  <ScaleCrop>false</ScaleCrop>
  <LinksUpToDate>false</LinksUpToDate>
  <CharactersWithSpaces>7005</CharactersWithSpaces>
  <Application>WPS Office_11.8.2.9022_F1E327BC-269C-435d-A152-05C5408002CA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2022-02-06T10:30:00Z</dcterms:created>
  <dc:creator>L</dc:creator>
  <cp:lastModifiedBy>Jason</cp:lastModifiedBy>
  <cp:lastPrinted>2021-03-09T01:00:00Z</cp:lastPrinted>
  <dcterms:modified xsi:type="dcterms:W3CDTF">2023-05-14T13:52:53Z</dcterms:modified>
  <cp:revision>119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2052-11.8.2.9022</vt:lpwstr>
  </property>
  <property fmtid="{D5CDD505-2E9C-101B-9397-08002B2CF9AE}" pid="3" name="ICV">
    <vt:lpwstr>71C5058AAAE6403CB57683E474D3D26B_13</vt:lpwstr>
  </property>
</Properties>
</file>