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  <w:lang w:bidi="ar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  <w:lang w:bidi="ar"/>
        </w:rPr>
        <w:t>拟任人选信息汇总表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宋体" w:eastAsia="方正小标宋简体" w:cs="黑体"/>
          <w:bCs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133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260"/>
        <w:gridCol w:w="2400"/>
        <w:gridCol w:w="4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认定类别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李素华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曾晔临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李伟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贾耿介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吴珍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邵浩靖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周永锋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胡冠菁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中国农业科学院农业基因组研究所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潘玮华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深圳市飞渡生物医学有限公司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金莲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深圳市凯润药业有限公司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陈涛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深圳市比克动力电池有限公司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佘奕奕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bidi="ar"/>
              </w:rPr>
              <w:t>鹏程优秀专家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深圳中兴新材技术股份有限公司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陈官茂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鹏程菁英人才</w:t>
            </w:r>
          </w:p>
        </w:tc>
      </w:tr>
      <w:tr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深圳中兴新材技术股份有限公司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刘建金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鹏程菁英人才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深圳中兴新材技术股份有限公司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王会娜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鹏程菁英人才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DFE37B"/>
    <w:rsid w:val="75F1F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邱梦婷</cp:lastModifiedBy>
  <dcterms:modified xsi:type="dcterms:W3CDTF">2023-06-21T14:16:55Z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BB17A79552432F59B0949264267DAFAF</vt:lpwstr>
  </property>
</Properties>
</file>