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编制说明</w:t>
      </w:r>
    </w:p>
    <w:p>
      <w:pPr>
        <w:pStyle w:val="4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为全面系统深入学习贯彻党的二十大和二十届一中、二中全会精神，深入学习贯彻习近平总书记对广东、深圳系列重要讲话和重要指示精神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cs="Times New Roman"/>
          <w:color w:val="auto"/>
          <w:sz w:val="32"/>
          <w:highlight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圳市人民政府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关于发展壮大战略性新兴产业集群和培育发展未来产业的意见》</w:t>
      </w:r>
      <w:r>
        <w:rPr>
          <w:rStyle w:val="8"/>
          <w:rFonts w:eastAsia="仿宋_GB2312"/>
          <w:color w:val="000000"/>
          <w:highlight w:val="none"/>
        </w:rPr>
        <w:t>《深圳市培育发展</w:t>
      </w:r>
      <w:r>
        <w:rPr>
          <w:rStyle w:val="8"/>
          <w:rFonts w:hint="eastAsia" w:eastAsia="仿宋_GB2312" w:cs="Times New Roman"/>
          <w:color w:val="000000"/>
          <w:highlight w:val="none"/>
          <w:lang w:eastAsia="zh-CN"/>
        </w:rPr>
        <w:t>未来产业行动计划（2022-2025年）》</w:t>
      </w:r>
      <w:r>
        <w:rPr>
          <w:rStyle w:val="8"/>
          <w:rFonts w:hint="eastAsia" w:cs="Times New Roman"/>
          <w:color w:val="000000"/>
          <w:highlight w:val="none"/>
          <w:lang w:val="en-US" w:eastAsia="zh-CN"/>
        </w:rPr>
        <w:t>要求，推动未来产业发展壮大，我委起草了《深圳市关于加快培育发展未来产业的若干措施（征求意见稿）》</w:t>
      </w:r>
      <w:r>
        <w:rPr>
          <w:rFonts w:ascii="仿宋_GB2312" w:hAnsi="仿宋_GB2312" w:eastAsia="仿宋_GB2312" w:cs="Times New Roman"/>
          <w:color w:val="auto"/>
          <w:sz w:val="32"/>
          <w:highlight w:val="none"/>
        </w:rPr>
        <w:t>。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现将编制情况说明</w:t>
      </w:r>
      <w:r>
        <w:rPr>
          <w:rFonts w:ascii="仿宋_GB2312" w:hAnsi="仿宋_GB2312" w:eastAsia="仿宋_GB2312" w:cs="Times New Roman"/>
          <w:color w:val="auto"/>
          <w:sz w:val="32"/>
          <w:highlight w:val="none"/>
        </w:rPr>
        <w:t>如下：</w:t>
      </w:r>
    </w:p>
    <w:p>
      <w:pPr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未</w:t>
      </w:r>
      <w:r>
        <w:rPr>
          <w:rFonts w:hint="default" w:ascii="仿宋_GB2312" w:hAnsi="仿宋_GB2312" w:cs="仿宋_GB2312"/>
          <w:szCs w:val="32"/>
        </w:rPr>
        <w:t>来产业是指由重大科技创新推动、代表未来科技和产业发展方向、对经济社会具有引领作用，当前处于萌芽期或产业化初期的产业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技术创新性强、培育周期长、发展不确定性高、领域交叉多等显著特点，前瞻布局未来产业，既是我国进入新发展阶段、加快构建新发展格局的客观需要，也是培育新兴接续产业、抢占全球科技产业竞争制高点的必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国家</w:t>
      </w:r>
      <w:r>
        <w:rPr>
          <w:rFonts w:hint="default" w:ascii="仿宋_GB2312" w:hAnsi="仿宋_GB2312" w:cs="仿宋_GB2312"/>
          <w:szCs w:val="32"/>
        </w:rPr>
        <w:t>“十四五”规划纲要</w:t>
      </w:r>
      <w:r>
        <w:rPr>
          <w:rFonts w:hint="eastAsia" w:ascii="仿宋_GB2312" w:hAnsi="仿宋_GB2312" w:cs="仿宋_GB2312"/>
          <w:szCs w:val="32"/>
          <w:lang w:val="en-US" w:eastAsia="zh-CN"/>
        </w:rPr>
        <w:t>明确</w:t>
      </w:r>
      <w:r>
        <w:rPr>
          <w:rFonts w:hint="default" w:ascii="仿宋_GB2312" w:hAnsi="仿宋_GB2312" w:cs="仿宋_GB2312"/>
          <w:szCs w:val="32"/>
        </w:rPr>
        <w:t>提出，在类脑智能、量子信息、基因技术、未来网络、深海空天开发、氢能与储能等前沿科技和产业变革领域，组织实施未来产业孵化与加速计划，谋划布局一批未来产业。广东省结合产业发展实际及未来发展趋势起草了工作方案，重点发展未来电子信息、未来智能装备、未来生命健康、未来材料、未来绿色低碳等五大未来产业集群与21个突破点，打造未来产业发展矩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一直以来，</w:t>
      </w:r>
      <w:r>
        <w:rPr>
          <w:rFonts w:hint="eastAsia" w:ascii="仿宋_GB2312" w:hAnsi="仿宋_GB2312" w:cs="仿宋_GB2312"/>
          <w:szCs w:val="32"/>
          <w:lang w:val="en-US" w:eastAsia="zh-CN"/>
        </w:rPr>
        <w:t>深圳</w:t>
      </w:r>
      <w:r>
        <w:rPr>
          <w:rFonts w:hint="eastAsia" w:ascii="仿宋_GB2312" w:hAnsi="仿宋_GB2312" w:cs="仿宋_GB2312"/>
          <w:szCs w:val="32"/>
        </w:rPr>
        <w:t>市委市政府高度重视</w:t>
      </w:r>
      <w:r>
        <w:rPr>
          <w:rFonts w:hint="eastAsia" w:ascii="仿宋_GB2312" w:hAnsi="仿宋_GB2312" w:cs="仿宋_GB2312"/>
          <w:szCs w:val="32"/>
          <w:lang w:val="en-US" w:eastAsia="zh-CN"/>
        </w:rPr>
        <w:t>战略性新兴产业和未来</w:t>
      </w:r>
      <w:r>
        <w:rPr>
          <w:rFonts w:hint="eastAsia" w:ascii="仿宋_GB2312" w:hAnsi="仿宋_GB2312" w:cs="仿宋_GB2312"/>
          <w:szCs w:val="32"/>
        </w:rPr>
        <w:t>产业发展。为</w:t>
      </w:r>
      <w:r>
        <w:rPr>
          <w:rFonts w:hint="default" w:ascii="仿宋_GB2312" w:hAnsi="仿宋_GB2312" w:cs="仿宋_GB2312"/>
          <w:szCs w:val="32"/>
        </w:rPr>
        <w:t>贯彻落实市委市政府关于“20+8”战略性新兴产业</w:t>
      </w:r>
      <w:r>
        <w:rPr>
          <w:rStyle w:val="8"/>
          <w:rFonts w:hint="default"/>
          <w:color w:val="000000"/>
          <w:highlight w:val="none"/>
        </w:rPr>
        <w:t>集群</w:t>
      </w:r>
      <w:r>
        <w:rPr>
          <w:rFonts w:hint="default" w:ascii="仿宋_GB2312" w:hAnsi="仿宋_GB2312" w:cs="仿宋_GB2312"/>
          <w:szCs w:val="32"/>
        </w:rPr>
        <w:t>和未</w:t>
      </w:r>
      <w:r>
        <w:rPr>
          <w:rStyle w:val="8"/>
          <w:rFonts w:hint="default"/>
          <w:color w:val="000000"/>
          <w:highlight w:val="none"/>
        </w:rPr>
        <w:t>来产业发展的规划和部署，</w:t>
      </w:r>
      <w:r>
        <w:rPr>
          <w:rFonts w:hint="eastAsia" w:ascii="仿宋_GB2312" w:hAnsi="仿宋_GB2312" w:cs="仿宋_GB2312"/>
          <w:szCs w:val="32"/>
        </w:rPr>
        <w:t>充分把握“双区驱动”发展机遇，培育壮大新动能，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出台《关于发展壮大战略性新兴产业集群和培育发展未来产业的意见》及一揽子配套政策，提出培育发展壮大“20+8”产业集群，加快建设具有全球影响力的科技和产业创新高地。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委按照市委市政府工作部署，以“六个一”工作体系扎实推进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八大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未来产业培育发展，取得了积极成效。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t>二、编制过程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楷体_GB2312" w:eastAsia="仿宋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</w:rPr>
        <w:t>）全面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落实市委市政府部署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</w:rPr>
        <w:t>。</w:t>
      </w:r>
      <w:r>
        <w:rPr>
          <w:rStyle w:val="8"/>
          <w:rFonts w:hint="eastAsia"/>
          <w:color w:val="000000"/>
          <w:highlight w:val="none"/>
          <w:lang w:val="en-US" w:eastAsia="zh-CN"/>
        </w:rPr>
        <w:t>深入学习市委市政府关于未来产业有关部署和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深圳市人民政府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关于发展壮大战略性新兴产业集群和培育发展未来产业的意见》</w:t>
      </w:r>
      <w:r>
        <w:rPr>
          <w:rStyle w:val="8"/>
          <w:rFonts w:eastAsia="仿宋_GB2312"/>
          <w:color w:val="000000"/>
          <w:highlight w:val="none"/>
        </w:rPr>
        <w:t>《深圳市培育发展</w:t>
      </w:r>
      <w:r>
        <w:rPr>
          <w:rStyle w:val="8"/>
          <w:rFonts w:hint="eastAsia" w:eastAsia="仿宋_GB2312" w:cs="Times New Roman"/>
          <w:color w:val="000000"/>
          <w:highlight w:val="none"/>
          <w:lang w:eastAsia="zh-CN"/>
        </w:rPr>
        <w:t>未来产业行动计划（2022-2025年）》</w:t>
      </w:r>
      <w:r>
        <w:rPr>
          <w:rStyle w:val="8"/>
          <w:rFonts w:hint="eastAsia" w:eastAsia="仿宋_GB2312" w:cs="Times New Roman"/>
          <w:color w:val="000000"/>
          <w:highlight w:val="none"/>
          <w:lang w:val="en-US" w:eastAsia="zh-CN"/>
        </w:rPr>
        <w:t>等文件精神</w:t>
      </w:r>
      <w:r>
        <w:rPr>
          <w:rStyle w:val="8"/>
          <w:rFonts w:hint="eastAsia" w:cs="Times New Roman"/>
          <w:color w:val="000000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形成征求意见稿</w:t>
      </w:r>
      <w:r>
        <w:rPr>
          <w:rFonts w:hint="eastAsia" w:ascii="仿宋_GB2312" w:hAnsi="仿宋_GB2312" w:cs="Times New Roman"/>
          <w:color w:val="auto"/>
          <w:sz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</w:rPr>
        <w:t>）深入开展调查研究。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对</w:t>
      </w:r>
      <w:r>
        <w:rPr>
          <w:rFonts w:hint="eastAsia" w:ascii="仿宋_GB2312" w:hAnsi="仿宋_GB2312" w:cs="Times New Roman"/>
          <w:color w:val="auto"/>
          <w:sz w:val="32"/>
          <w:highlight w:val="none"/>
          <w:lang w:val="en-US" w:eastAsia="zh-CN"/>
        </w:rPr>
        <w:t>未来产业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的现状、存在问题等进行深入梳理</w:t>
      </w:r>
      <w:r>
        <w:rPr>
          <w:rFonts w:hint="eastAsia" w:ascii="仿宋_GB2312" w:hAnsi="仿宋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加大与市统计局、各区、各产业支撑机构的紧密联系，强化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对“6+5”核心承载区未来产业运行情况的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常态化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调研分析，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滚动更新“六个一”工作体系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ascii="仿宋_GB2312" w:hAnsi="仿宋_GB2312" w:eastAsia="仿宋_GB2312" w:cs="仿宋_GB2312"/>
          <w:sz w:val="32"/>
          <w:szCs w:val="32"/>
        </w:rPr>
        <w:t>借鉴国家和广东省及北京、上海等城市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未来产业</w:t>
      </w:r>
      <w:r>
        <w:rPr>
          <w:rFonts w:ascii="仿宋_GB2312" w:hAnsi="仿宋_GB2312" w:eastAsia="仿宋_GB2312" w:cs="仿宋_GB2312"/>
          <w:sz w:val="32"/>
          <w:szCs w:val="32"/>
        </w:rPr>
        <w:t>科技创新布局和支持措施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修改完善</w:t>
      </w:r>
      <w:r>
        <w:rPr>
          <w:rFonts w:hint="eastAsia" w:ascii="仿宋_GB2312" w:hAnsi="仿宋_GB2312" w:cs="Times New Roman"/>
          <w:color w:val="auto"/>
          <w:sz w:val="32"/>
          <w:highlight w:val="none"/>
          <w:lang w:val="en-US" w:eastAsia="zh-CN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auto"/>
          <w:sz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</w:rPr>
        <w:t>）广泛开展调研座谈。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推动八大未来产业逐步实现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“一联盟、一团队”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围绕八大未来产业组织龙头企业、行业协会、科研机构、高等院校召开十余场政策座谈会，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进行深入研究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组织委内意见征集，以专题会和多次小范围讨论的形式开展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若干措施</w:t>
      </w:r>
      <w:r>
        <w:rPr>
          <w:rFonts w:ascii="仿宋_GB2312" w:hAnsi="仿宋_GB2312" w:eastAsia="仿宋_GB2312" w:cs="仿宋_GB2312"/>
          <w:sz w:val="32"/>
          <w:szCs w:val="32"/>
        </w:rPr>
        <w:t>起草的准备和素材征集工作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发文征求市发展改革委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Times New Roman"/>
          <w:color w:val="auto"/>
          <w:sz w:val="32"/>
          <w:highlight w:val="none"/>
          <w:lang w:val="en-US" w:eastAsia="zh-CN"/>
        </w:rPr>
        <w:t>教育局、工业和信息化局</w:t>
      </w:r>
      <w:r>
        <w:rPr>
          <w:rFonts w:hint="eastAsia" w:ascii="仿宋_GB2312" w:hAnsi="仿宋_GB2312" w:eastAsia="仿宋_GB2312" w:cs="Times New Roman"/>
          <w:color w:val="auto"/>
          <w:sz w:val="32"/>
          <w:highlight w:val="none"/>
        </w:rPr>
        <w:t>等单位的意见建议并修改完善。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</w:pP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我市不断加快前瞻部署，在前沿技术孵化、多元化投入、早期市场培育和产业生态营造等多层面构建新的政策支持体系，以洞察先机、迎接变革、主导未来，促进未来产业发展突破“需求引导新技术”的局限，开启“技术催生新需求”的双向通道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《若干措施（征求意见稿）》强调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加强基础研究和应用基础研究，对新产品、新技术和新工艺的研发及其产业化和应用推广，在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产业政策、资金扶持、产业空间、人才奖励、平台服务等方面予以重点支持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，推动未来产业成为我市经济高质量发展的新增量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强化产业发展统筹力度。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建立政府与市场协同、市区联动的机制，充分发挥“有为政府、有效市场”的特点，</w:t>
      </w:r>
      <w:r>
        <w:rPr>
          <w:rStyle w:val="8"/>
          <w:rFonts w:hAnsi="Times New Roman" w:cs="Times New Roman"/>
          <w:color w:val="000000"/>
          <w:highlight w:val="none"/>
        </w:rPr>
        <w:t>优化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我市</w:t>
      </w:r>
      <w:r>
        <w:rPr>
          <w:rStyle w:val="8"/>
          <w:rFonts w:hAnsi="Times New Roman" w:cs="Times New Roman"/>
          <w:color w:val="000000"/>
          <w:highlight w:val="none"/>
        </w:rPr>
        <w:t>整体布局，合理规划产业发展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default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（二）强化科技创新前瞻布局。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从基础研究、技术攻关、创新载体建设、重大科技基础设施保障等四个方面入手，加强技术预见，鼓励建立创新联合体，面向世界前沿科技和卡脖子关键核心技术进行攻关。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（三）梯度培育创新企业。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从培育和引进的角度出发，企业培育阶段覆盖从孵化器、众创空间的初创企业到国家高新技术企业、专精特新、单项冠军、独角兽企业。利用展会、基金等多方式进行招商。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default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（四）促进科技成果转化应用。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紧密围绕我国经济社会发展重大需求和现实基础，从概念验证、中试验证、成果转化三个层次为科技成果提供相应服务，利用技术创新和产业化应用、创新产品收购等手段给予一定资助。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rFonts w:hint="default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（五）优化未来产业发展生态。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从推广示范应用、强化科普、加快标准制定和检测认证、举办赛事展会等方面为未来产业发展营造良好生态。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（六）健全未来产业发展保障机制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从加强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人才保障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、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产业空间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保障、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 w:bidi="ar"/>
        </w:rPr>
        <w:t>资金保障、监管体系保障等四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个方面入手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Style w:val="8"/>
          <w:rFonts w:hAnsi="Times New Roman" w:cs="Times New Roman"/>
          <w:color w:val="000000"/>
          <w:highlight w:val="none"/>
        </w:rPr>
        <w:t>创新人才培养</w:t>
      </w:r>
      <w:r>
        <w:rPr>
          <w:rStyle w:val="8"/>
          <w:rFonts w:hint="eastAsia" w:hAnsi="Times New Roman" w:cs="Times New Roman"/>
          <w:color w:val="000000"/>
          <w:highlight w:val="none"/>
          <w:lang w:val="en-US" w:eastAsia="zh-CN"/>
        </w:rPr>
        <w:t>模式，打造若干特色园区，加大资金投入力度，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建立健全公开透明的监管体系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TA4ZmI5ZTBmNmVlYWFlZjY4ODllNjZmMzYwNGYifQ=="/>
  </w:docVars>
  <w:rsids>
    <w:rsidRoot w:val="00000000"/>
    <w:rsid w:val="01501F24"/>
    <w:rsid w:val="09BD536B"/>
    <w:rsid w:val="0D1E5BAD"/>
    <w:rsid w:val="111F337A"/>
    <w:rsid w:val="12CC1E0B"/>
    <w:rsid w:val="178A7B02"/>
    <w:rsid w:val="190C5788"/>
    <w:rsid w:val="1AE461F8"/>
    <w:rsid w:val="25D326AB"/>
    <w:rsid w:val="29AA7CE4"/>
    <w:rsid w:val="2A464068"/>
    <w:rsid w:val="2E40405E"/>
    <w:rsid w:val="2F8A6889"/>
    <w:rsid w:val="33DC6161"/>
    <w:rsid w:val="34427402"/>
    <w:rsid w:val="362E1F6B"/>
    <w:rsid w:val="3A2944D4"/>
    <w:rsid w:val="3AD50627"/>
    <w:rsid w:val="3E371313"/>
    <w:rsid w:val="3E7E5C40"/>
    <w:rsid w:val="42BF647C"/>
    <w:rsid w:val="43716791"/>
    <w:rsid w:val="468E5C02"/>
    <w:rsid w:val="473D3FBB"/>
    <w:rsid w:val="4B144381"/>
    <w:rsid w:val="4E6B60F4"/>
    <w:rsid w:val="53A56941"/>
    <w:rsid w:val="556E35B5"/>
    <w:rsid w:val="58764F47"/>
    <w:rsid w:val="5D3C5670"/>
    <w:rsid w:val="5F0634DF"/>
    <w:rsid w:val="635F3637"/>
    <w:rsid w:val="66C043ED"/>
    <w:rsid w:val="6708211E"/>
    <w:rsid w:val="698F71A3"/>
    <w:rsid w:val="6A3A1933"/>
    <w:rsid w:val="6E5F68B6"/>
    <w:rsid w:val="741722B2"/>
    <w:rsid w:val="784B67EB"/>
    <w:rsid w:val="798A375B"/>
    <w:rsid w:val="7D2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360" w:lineRule="auto"/>
      <w:ind w:firstLine="200" w:firstLineChars="200"/>
      <w:outlineLvl w:val="1"/>
    </w:pPr>
    <w:rPr>
      <w:rFonts w:ascii="Calibri Light" w:hAnsi="Calibri Light" w:eastAsia="仿宋_GB2312"/>
      <w:b/>
      <w:bCs/>
      <w:sz w:val="32"/>
      <w:szCs w:val="32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style4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9">
    <w:name w:val="fontstyle31"/>
    <w:basedOn w:val="7"/>
    <w:qFormat/>
    <w:uiPriority w:val="0"/>
    <w:rPr>
      <w:rFonts w:hint="eastAsia" w:ascii="楷体_GB2312" w:eastAsia="楷体_GB2312"/>
      <w:color w:val="000000"/>
      <w:sz w:val="32"/>
      <w:szCs w:val="32"/>
    </w:rPr>
  </w:style>
  <w:style w:type="character" w:customStyle="1" w:styleId="10">
    <w:name w:val="fontstyle01"/>
    <w:basedOn w:val="7"/>
    <w:qFormat/>
    <w:uiPriority w:val="0"/>
    <w:rPr>
      <w:rFonts w:hint="eastAsia" w:ascii="黑体" w:hAnsi="黑体" w:eastAsia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2064</Words>
  <Characters>2108</Characters>
  <Lines>0</Lines>
  <Paragraphs>0</Paragraphs>
  <TotalTime>0</TotalTime>
  <ScaleCrop>false</ScaleCrop>
  <LinksUpToDate>false</LinksUpToDate>
  <CharactersWithSpaces>2108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2023-06-01T02:52:00Z</dcterms:created>
  <dc:creator>87710</dc:creator>
  <cp:lastModifiedBy>胡萝卜</cp:lastModifiedBy>
  <dcterms:modified xsi:type="dcterms:W3CDTF">2023-07-19T10:42:58Z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946A342171C94BA490C3228BD72EE9C6_12</vt:lpwstr>
  </property>
</Properties>
</file>