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深圳市推动智能终端产业高质量发展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若干措施（公开征求意见稿）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深入贯彻落实《深圳市人民政府关于发展壮大战略性新兴产业集群和培育发展未来产业的意见》（深府〔2022〕1号）、《深圳市培育发展智能终端产业集群行动计划（2022-2025年）》等文件精神，推动我市智能终端产业高质量发展，制定本措施。</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提升链主企业产业链带动能力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sz w:val="32"/>
          <w:szCs w:val="32"/>
          <w:highlight w:val="none"/>
          <w:lang w:val="en-US" w:eastAsia="zh-CN"/>
        </w:rPr>
        <w:t>支持链主企业牵头开展联合攻关。</w:t>
      </w:r>
      <w:r>
        <w:rPr>
          <w:rFonts w:hint="eastAsia" w:ascii="仿宋_GB2312" w:hAnsi="仿宋_GB2312" w:eastAsia="仿宋_GB2312" w:cs="仿宋_GB2312"/>
          <w:sz w:val="32"/>
          <w:szCs w:val="32"/>
          <w:highlight w:val="none"/>
          <w:lang w:val="en-US" w:eastAsia="zh-CN"/>
        </w:rPr>
        <w:t>鼓励品牌整机企业、龙头ODM/OEM企业结合自身需要，与上游零部件元器件、模组生产企业、科研院所等共同开展关键技术核心攻关和新技术新产品验证开发，对年度采购额超过3000万的单</w:t>
      </w:r>
      <w:r>
        <w:rPr>
          <w:rFonts w:hint="eastAsia" w:ascii="仿宋_GB2312" w:hAnsi="仿宋_GB2312" w:eastAsia="仿宋_GB2312" w:cs="仿宋_GB2312"/>
          <w:sz w:val="32"/>
          <w:szCs w:val="32"/>
          <w:lang w:val="en-US" w:eastAsia="zh-CN"/>
        </w:rPr>
        <w:t>个研发新产品，按照年度采购额的10%予以采购方最高不超过2000万元一次性奖励。</w:t>
      </w:r>
      <w:r>
        <w:rPr>
          <w:rFonts w:hint="eastAsia" w:ascii="楷体_GB2312" w:hAnsi="楷体_GB2312" w:eastAsia="楷体_GB2312" w:cs="楷体_GB2312"/>
          <w:sz w:val="32"/>
          <w:szCs w:val="32"/>
          <w:lang w:val="en-US" w:eastAsia="zh-CN"/>
        </w:rPr>
        <w:t>（责任单位：市工业和信息化局）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color w:val="auto"/>
          <w:sz w:val="32"/>
          <w:szCs w:val="32"/>
          <w:lang w:val="en-US" w:eastAsia="zh-CN"/>
        </w:rPr>
        <w:t>（二）支持链主企业吸引产业生态聚集。</w:t>
      </w:r>
      <w:r>
        <w:rPr>
          <w:rFonts w:hint="eastAsia" w:ascii="仿宋_GB2312" w:hAnsi="Arial" w:eastAsia="仿宋_GB2312" w:cs="Arial"/>
          <w:color w:val="auto"/>
          <w:kern w:val="2"/>
          <w:sz w:val="32"/>
          <w:szCs w:val="32"/>
          <w:lang w:val="en-US" w:eastAsia="zh-CN" w:bidi="ar-SA"/>
        </w:rPr>
        <w:t>通过以商招商、整机牵引，鼓励在深龙头终端整机企业与上下游核心配套产业链企业加强合作，带动产业链关键环节企业实现区域聚集，对成功招引配套企业总部、核心生产和研发环节落户的龙头企业，按照招引企业综合经济规模予以单家不超过1000万元奖励；对新落户的企业按照综合经济规模予以不超过2000万元一次性落户奖励。鼓励大型企业集团在深单独设立法人主体，将新增的高端手机、智能可穿戴设备、车载视听设备、智能家居、VR/AR等业务落地深圳，对新设立的主体按照年度产值（营收）规模和地方财力贡献予以不超过2000万一次性落户奖励。</w:t>
      </w:r>
      <w:r>
        <w:rPr>
          <w:rFonts w:hint="eastAsia" w:ascii="楷体_GB2312" w:hAnsi="楷体_GB2312" w:eastAsia="楷体_GB2312" w:cs="楷体_GB2312"/>
          <w:color w:val="auto"/>
          <w:kern w:val="2"/>
          <w:sz w:val="32"/>
          <w:szCs w:val="32"/>
          <w:lang w:val="en-US" w:eastAsia="zh-CN" w:bidi="ar-SA"/>
        </w:rPr>
        <w:t>（责任单位：市商务局、工业和信息化局）</w:t>
      </w:r>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（三）强化集群内上下游生产配套。</w:t>
      </w:r>
      <w:r>
        <w:rPr>
          <w:rFonts w:hint="eastAsia" w:ascii="仿宋_GB2312" w:hAnsi="仿宋_GB2312" w:eastAsia="仿宋_GB2312" w:cs="仿宋_GB2312"/>
          <w:color w:val="auto"/>
          <w:sz w:val="32"/>
          <w:szCs w:val="32"/>
          <w:highlight w:val="none"/>
          <w:lang w:val="en-US" w:eastAsia="zh-CN"/>
        </w:rPr>
        <w:t>鼓励品牌整机企业与集群内代工企业、核心零部件生产企业等上游产业链企业加强合作，对新达成合作并形成实质交易的，按照年度净新增交易额的1%予以双方奖励，每家企业每年最高奖励1000万。</w:t>
      </w:r>
      <w:r>
        <w:rPr>
          <w:rFonts w:hint="eastAsia" w:ascii="仿宋_GB2312" w:hAnsi="宋体" w:eastAsia="仿宋_GB2312" w:cs="仿宋_GB2312"/>
          <w:color w:val="auto"/>
          <w:sz w:val="32"/>
          <w:szCs w:val="32"/>
          <w:highlight w:val="none"/>
          <w:lang w:val="en-US" w:eastAsia="zh-CN"/>
        </w:rPr>
        <w:t>举办供应链合作对接会，推荐符合条件的专精特新“小巨人”企业、制造业单项冠军企业进入本地龙头企业供应链。</w:t>
      </w:r>
      <w:r>
        <w:rPr>
          <w:rFonts w:hint="eastAsia" w:ascii="仿宋_GB2312" w:hAnsi="仿宋_GB2312" w:eastAsia="仿宋_GB2312" w:cs="仿宋_GB2312"/>
          <w:color w:val="auto"/>
          <w:sz w:val="32"/>
          <w:szCs w:val="32"/>
          <w:highlight w:val="none"/>
          <w:lang w:val="en-US" w:eastAsia="zh-CN"/>
        </w:rPr>
        <w:t>（</w:t>
      </w:r>
      <w:r>
        <w:rPr>
          <w:rFonts w:hint="eastAsia" w:ascii="楷体_GB2312" w:hAnsi="楷体_GB2312" w:eastAsia="楷体_GB2312" w:cs="楷体_GB2312"/>
          <w:sz w:val="32"/>
          <w:szCs w:val="32"/>
          <w:highlight w:val="none"/>
          <w:lang w:val="en-US" w:eastAsia="zh-CN"/>
        </w:rPr>
        <w:t>责任单位：市工业和信息化局、中小企业服务局、各区）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二、增强关键核心技术攻关能力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（四）开展“揭榜挂帅”活动。</w:t>
      </w:r>
      <w:r>
        <w:rPr>
          <w:rFonts w:hint="eastAsia" w:ascii="仿宋_GB2312" w:hAnsi="仿宋_GB2312" w:eastAsia="仿宋_GB2312" w:cs="仿宋_GB2312"/>
          <w:sz w:val="32"/>
          <w:szCs w:val="32"/>
          <w:lang w:val="en-US" w:eastAsia="zh-CN"/>
        </w:rPr>
        <w:t>针对制约智能终端产业、企业发展、亟待解决的基础性、关键性技术问题形成榜单需求，对成功揭榜的项目单位按照项目总投入的50%分阶段给予最高不超过1亿元资助。</w:t>
      </w:r>
      <w:r>
        <w:rPr>
          <w:rFonts w:hint="eastAsia" w:ascii="楷体_GB2312" w:hAnsi="楷体_GB2312" w:eastAsia="楷体_GB2312" w:cs="楷体_GB2312"/>
          <w:sz w:val="32"/>
          <w:szCs w:val="32"/>
          <w:lang w:val="en-US" w:eastAsia="zh-CN"/>
        </w:rPr>
        <w:t>（责任单位：市工业和信息化局、科技创新委）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lang w:val="en-US" w:eastAsia="zh-CN"/>
        </w:rPr>
      </w:pPr>
      <w:r>
        <w:rPr>
          <w:rFonts w:hint="eastAsia" w:ascii="楷体_GB2312" w:hAnsi="楷体_GB2312" w:eastAsia="楷体_GB2312" w:cs="楷体_GB2312"/>
          <w:color w:val="auto"/>
          <w:sz w:val="32"/>
          <w:szCs w:val="32"/>
          <w:lang w:val="en-US" w:eastAsia="zh-CN"/>
        </w:rPr>
        <w:t>（五）提升智能终端产品核心竞争力。</w:t>
      </w:r>
      <w:r>
        <w:rPr>
          <w:rFonts w:hint="eastAsia" w:ascii="仿宋_GB2312" w:hAnsi="仿宋_GB2312" w:eastAsia="仿宋_GB2312" w:cs="仿宋_GB2312"/>
          <w:color w:val="auto"/>
          <w:sz w:val="32"/>
          <w:szCs w:val="32"/>
          <w:lang w:val="en-US" w:eastAsia="zh-CN"/>
        </w:rPr>
        <w:t>支持高端折叠屏手机、VR/AR设备、车载视听设备、全屋智能产品等新型智能终端整机及核心元器件的研发及产业化。对项目承担单位按照项目总投入的20%给予最高不超过1500万元资助。支持智能终端产品与</w:t>
      </w:r>
      <w:r>
        <w:rPr>
          <w:rFonts w:hint="eastAsia" w:ascii="仿宋_GB2312" w:hAnsi="仿宋_GB2312" w:eastAsia="仿宋_GB2312" w:cs="仿宋_GB2312"/>
          <w:sz w:val="32"/>
          <w:szCs w:val="32"/>
          <w:highlight w:val="none"/>
          <w:lang w:val="en-US" w:eastAsia="zh-CN"/>
        </w:rPr>
        <w:t>通用大模型结合</w:t>
      </w:r>
      <w:r>
        <w:rPr>
          <w:rFonts w:hint="eastAsia" w:ascii="仿宋_GB2312" w:hAnsi="仿宋_GB2312" w:eastAsia="仿宋_GB2312" w:cs="仿宋_GB2312"/>
          <w:color w:val="auto"/>
          <w:sz w:val="32"/>
          <w:szCs w:val="32"/>
          <w:lang w:val="en-US" w:eastAsia="zh-CN"/>
        </w:rPr>
        <w:t>，加速功能创新和产品形态创新。</w:t>
      </w:r>
      <w:r>
        <w:rPr>
          <w:rFonts w:hint="eastAsia" w:ascii="楷体" w:hAnsi="楷体" w:eastAsia="楷体" w:cs="楷体"/>
          <w:color w:val="auto"/>
          <w:sz w:val="32"/>
          <w:szCs w:val="32"/>
          <w:lang w:val="en-US" w:eastAsia="zh-CN"/>
        </w:rPr>
        <w:t>（责任单位：市工业和信息化局、发展改革委）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（六）鼓励承担国家项目。</w:t>
      </w:r>
      <w:r>
        <w:rPr>
          <w:rFonts w:hint="eastAsia" w:ascii="仿宋_GB2312" w:hAnsi="仿宋_GB2312" w:eastAsia="仿宋_GB2312" w:cs="仿宋_GB2312"/>
          <w:sz w:val="32"/>
          <w:szCs w:val="32"/>
          <w:lang w:val="en-US" w:eastAsia="zh-CN"/>
        </w:rPr>
        <w:t>鼓励企业、高校、科研院所等单位积极争创国家级创新载体，牵头承担国家部委组织开展的智能终端领域重大项目。对承担国家项目的，给予不超过1:1的资金配套，国家级资金和市级配套资金合计不超过项目总投资的50%，科技计划项目另有规定的从其规定。</w:t>
      </w:r>
      <w:r>
        <w:rPr>
          <w:rFonts w:hint="eastAsia" w:ascii="楷体_GB2312" w:hAnsi="楷体_GB2312" w:eastAsia="楷体_GB2312" w:cs="楷体_GB2312"/>
          <w:sz w:val="32"/>
          <w:szCs w:val="32"/>
          <w:lang w:val="en-US" w:eastAsia="zh-CN"/>
        </w:rPr>
        <w:t>（责任单位：市发展改革委、工业和信息化局、科技创新委）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highlight w:val="yellow"/>
          <w:lang w:val="en-US" w:eastAsia="zh-CN"/>
        </w:rPr>
      </w:pPr>
      <w:r>
        <w:rPr>
          <w:rFonts w:hint="eastAsia" w:ascii="黑体" w:hAnsi="黑体" w:eastAsia="黑体" w:cs="黑体"/>
          <w:sz w:val="32"/>
          <w:szCs w:val="32"/>
          <w:lang w:val="en-US" w:eastAsia="zh-CN"/>
        </w:rPr>
        <w:t>三、提升高端制造能力</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（七）支持落地重大先进制造业项目。</w:t>
      </w:r>
      <w:r>
        <w:rPr>
          <w:rFonts w:hint="eastAsia" w:ascii="仿宋_GB2312" w:hAnsi="仿宋_GB2312" w:eastAsia="仿宋_GB2312" w:cs="仿宋_GB2312"/>
          <w:color w:val="auto"/>
          <w:sz w:val="32"/>
          <w:szCs w:val="32"/>
          <w:highlight w:val="none"/>
          <w:lang w:val="en-US" w:eastAsia="zh-CN"/>
        </w:rPr>
        <w:t>支持在深落地智能终端核心元器件、零部件及高端整机重大工业项目，对总投资30亿（含）-100亿的，由落地区研究给予“一事一议”支持，总投资在100亿以上的，由市级层面研究予以“一事一议”支持。“一事一议”支持标准、范围和程序按照《关于进一步促进深圳工业经济稳增长提质量的若干措施》（深府〔2022〕45号）第三条执行。</w:t>
      </w:r>
      <w:r>
        <w:rPr>
          <w:rFonts w:hint="eastAsia" w:ascii="楷体_GB2312" w:hAnsi="楷体_GB2312" w:eastAsia="楷体_GB2312" w:cs="楷体_GB2312"/>
          <w:sz w:val="32"/>
          <w:szCs w:val="32"/>
          <w:highlight w:val="none"/>
          <w:lang w:val="en-US" w:eastAsia="zh-CN"/>
        </w:rPr>
        <w:t>（责任单位：市工业和信息化局、各区）</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（八）提升智能制造水平。</w:t>
      </w:r>
      <w:r>
        <w:rPr>
          <w:rFonts w:hint="eastAsia" w:ascii="仿宋_GB2312" w:hAnsi="仿宋_GB2312" w:eastAsia="仿宋_GB2312" w:cs="仿宋_GB2312"/>
          <w:color w:val="auto"/>
          <w:sz w:val="32"/>
          <w:szCs w:val="32"/>
          <w:highlight w:val="none"/>
          <w:lang w:val="en-US" w:eastAsia="zh-CN"/>
        </w:rPr>
        <w:t>鼓励企业对标世界“灯塔工厂”和国家智能制造示范工厂推动智能制造转型，对在深落地的智能终端领域生产基地被认定为世界“灯塔工厂”的，给予500万元一次性奖励。获得工业和信息化部遴选认定的“数字领航”企业、智能制造示范工厂、智能制造优秀场景的，分别给予500万元、300万元、100万元一次性奖励。</w:t>
      </w:r>
      <w:r>
        <w:rPr>
          <w:rFonts w:hint="eastAsia" w:ascii="楷体_GB2312" w:hAnsi="楷体_GB2312" w:eastAsia="楷体_GB2312" w:cs="楷体_GB2312"/>
          <w:sz w:val="32"/>
          <w:szCs w:val="32"/>
          <w:highlight w:val="none"/>
          <w:lang w:val="en-US" w:eastAsia="zh-CN"/>
        </w:rPr>
        <w:t>（责任单位：市工业</w:t>
      </w:r>
      <w:bookmarkStart w:id="0" w:name="_GoBack"/>
      <w:bookmarkEnd w:id="0"/>
      <w:r>
        <w:rPr>
          <w:rFonts w:hint="eastAsia" w:ascii="楷体_GB2312" w:hAnsi="楷体_GB2312" w:eastAsia="楷体_GB2312" w:cs="楷体_GB2312"/>
          <w:sz w:val="32"/>
          <w:szCs w:val="32"/>
          <w:highlight w:val="none"/>
          <w:lang w:val="en-US" w:eastAsia="zh-CN"/>
        </w:rPr>
        <w:t>和信息化局）</w:t>
      </w:r>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（九）支持企业数字化转型。</w:t>
      </w:r>
      <w:r>
        <w:rPr>
          <w:rFonts w:hint="eastAsia" w:ascii="仿宋_GB2312" w:hAnsi="仿宋_GB2312" w:eastAsia="仿宋_GB2312" w:cs="仿宋_GB2312"/>
          <w:color w:val="auto"/>
          <w:kern w:val="2"/>
          <w:sz w:val="32"/>
          <w:szCs w:val="32"/>
          <w:lang w:val="en-US" w:eastAsia="zh-CN" w:bidi="ar-SA"/>
        </w:rPr>
        <w:t>支持具有高端精密制造能力的智能终端龙头企业发挥行业带动作用，设立具有公共服务性质的新品导入（NPI）创新平台，为深圳企业提供将设计产品迅速转化为成熟制程并大规模制造的能力，满足各行业“小批量、个性化、敏捷反应”的新型智造需求。对经认定的创新平台，参照深圳市制造业创新中心有关政策予以</w:t>
      </w:r>
      <w:r>
        <w:rPr>
          <w:rFonts w:hint="eastAsia" w:ascii="仿宋_GB2312" w:hAnsi="仿宋_GB2312" w:eastAsia="仿宋_GB2312" w:cs="仿宋_GB2312"/>
          <w:color w:val="auto"/>
          <w:kern w:val="2"/>
          <w:sz w:val="32"/>
          <w:szCs w:val="32"/>
          <w:highlight w:val="none"/>
          <w:lang w:val="en-US" w:eastAsia="zh-CN" w:bidi="ar-SA"/>
        </w:rPr>
        <w:t>支持。鼓励龙头终端企业成为智能制造诊断服务商、方案提供商，为上下游产业链企业提供数字化转型服务。</w:t>
      </w:r>
      <w:r>
        <w:rPr>
          <w:rFonts w:hint="eastAsia" w:ascii="楷体_GB2312" w:hAnsi="楷体_GB2312" w:eastAsia="楷体_GB2312" w:cs="楷体_GB2312"/>
          <w:sz w:val="32"/>
          <w:szCs w:val="32"/>
          <w:highlight w:val="none"/>
          <w:lang w:val="en-US" w:eastAsia="zh-CN"/>
        </w:rPr>
        <w:t>（责任单位：市工业和信息化局）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四、强化市场开拓能力</w:t>
      </w:r>
    </w:p>
    <w:p>
      <w:pPr>
        <w:spacing w:line="560" w:lineRule="exact"/>
        <w:ind w:firstLine="640" w:firstLineChars="200"/>
        <w:rPr>
          <w:rFonts w:hint="eastAsia" w:ascii="仿宋_GB2312" w:hAnsi="仿宋_GB2312" w:eastAsia="仿宋_GB2312" w:cs="仿宋_GB2312"/>
          <w:sz w:val="32"/>
          <w:szCs w:val="32"/>
          <w:highlight w:val="yellow"/>
          <w:lang w:eastAsia="zh-CN"/>
        </w:rPr>
      </w:pPr>
      <w:r>
        <w:rPr>
          <w:rFonts w:hint="eastAsia" w:ascii="楷体_GB2312" w:hAnsi="楷体_GB2312" w:eastAsia="楷体_GB2312" w:cs="楷体_GB2312"/>
          <w:color w:val="auto"/>
          <w:sz w:val="32"/>
          <w:szCs w:val="32"/>
          <w:lang w:val="en-US" w:eastAsia="zh-CN"/>
        </w:rPr>
        <w:t>（十）</w:t>
      </w:r>
      <w:r>
        <w:rPr>
          <w:rFonts w:hint="eastAsia" w:ascii="楷体_GB2312" w:hAnsi="楷体_GB2312" w:eastAsia="楷体_GB2312" w:cs="楷体_GB2312"/>
          <w:color w:val="auto"/>
          <w:sz w:val="32"/>
          <w:szCs w:val="32"/>
          <w:highlight w:val="none"/>
          <w:lang w:val="en-US" w:eastAsia="zh-CN"/>
        </w:rPr>
        <w:t>支持深圳品牌走出去。</w:t>
      </w:r>
      <w:r>
        <w:rPr>
          <w:rFonts w:hint="eastAsia" w:ascii="仿宋_GB2312" w:hAnsi="仿宋_GB2312" w:eastAsia="仿宋_GB2312" w:cs="仿宋_GB2312"/>
          <w:sz w:val="32"/>
          <w:szCs w:val="32"/>
        </w:rPr>
        <w:t>鼓励</w:t>
      </w:r>
      <w:r>
        <w:rPr>
          <w:rFonts w:hint="eastAsia" w:ascii="仿宋_GB2312" w:hAnsi="仿宋_GB2312" w:eastAsia="仿宋_GB2312" w:cs="仿宋_GB2312"/>
          <w:sz w:val="32"/>
          <w:szCs w:val="32"/>
          <w:lang w:eastAsia="zh-CN"/>
        </w:rPr>
        <w:t>深圳终端品牌企业加速</w:t>
      </w:r>
      <w:r>
        <w:rPr>
          <w:rFonts w:hint="eastAsia" w:ascii="仿宋_GB2312" w:hAnsi="仿宋_GB2312" w:eastAsia="仿宋_GB2312" w:cs="仿宋_GB2312"/>
          <w:sz w:val="32"/>
          <w:szCs w:val="32"/>
        </w:rPr>
        <w:t>拓展海外市场</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参加</w:t>
      </w:r>
      <w:r>
        <w:rPr>
          <w:rFonts w:hint="eastAsia" w:ascii="仿宋_GB2312" w:hAnsi="仿宋_GB2312" w:eastAsia="仿宋_GB2312" w:cs="仿宋_GB2312"/>
          <w:color w:val="auto"/>
          <w:sz w:val="32"/>
          <w:szCs w:val="32"/>
          <w:lang w:val="en-US" w:eastAsia="zh-CN"/>
        </w:rPr>
        <w:t>国际消费类电子产品展览会（CES）、世界移动通信大会（MWC）、德国柏林国际电子消费品展览会（IFA）等国外智能终端领域高端展会</w:t>
      </w:r>
      <w:r>
        <w:rPr>
          <w:rFonts w:hint="eastAsia" w:ascii="仿宋_GB2312" w:hAnsi="仿宋_GB2312" w:eastAsia="仿宋_GB2312" w:cs="仿宋_GB2312"/>
          <w:sz w:val="32"/>
          <w:szCs w:val="32"/>
        </w:rPr>
        <w:t>的展位费按照实际支出的</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0%予以</w:t>
      </w:r>
      <w:r>
        <w:rPr>
          <w:rFonts w:hint="eastAsia" w:ascii="仿宋_GB2312" w:hAnsi="仿宋_GB2312" w:eastAsia="仿宋_GB2312" w:cs="仿宋_GB2312"/>
          <w:sz w:val="32"/>
          <w:szCs w:val="32"/>
          <w:highlight w:val="none"/>
        </w:rPr>
        <w:t>补贴，</w:t>
      </w:r>
      <w:r>
        <w:rPr>
          <w:rFonts w:hint="eastAsia" w:ascii="仿宋_GB2312" w:hAnsi="仿宋_GB2312" w:eastAsia="仿宋_GB2312" w:cs="仿宋_GB2312"/>
          <w:sz w:val="32"/>
          <w:szCs w:val="32"/>
          <w:highlight w:val="none"/>
          <w:lang w:eastAsia="zh-CN"/>
        </w:rPr>
        <w:t>单次展会最高不超过</w:t>
      </w:r>
      <w:r>
        <w:rPr>
          <w:rFonts w:hint="eastAsia" w:ascii="仿宋_GB2312" w:hAnsi="仿宋_GB2312" w:eastAsia="仿宋_GB2312" w:cs="仿宋_GB2312"/>
          <w:sz w:val="32"/>
          <w:szCs w:val="32"/>
          <w:highlight w:val="none"/>
          <w:lang w:val="en-US" w:eastAsia="zh-CN"/>
        </w:rPr>
        <w:t>80万</w:t>
      </w:r>
      <w:r>
        <w:rPr>
          <w:rFonts w:hint="eastAsia" w:ascii="仿宋_GB2312" w:hAnsi="仿宋_GB2312" w:eastAsia="仿宋_GB2312" w:cs="仿宋_GB2312"/>
          <w:sz w:val="32"/>
          <w:szCs w:val="32"/>
          <w:highlight w:val="none"/>
          <w:lang w:eastAsia="zh-CN"/>
        </w:rPr>
        <w:t>。在深举办具有国际影响力的消费电子展，鼓励智能终端上下游产业链企业积极参展，对参展单位展位费的</w:t>
      </w:r>
      <w:r>
        <w:rPr>
          <w:rFonts w:hint="eastAsia" w:ascii="仿宋_GB2312" w:hAnsi="仿宋_GB2312" w:eastAsia="仿宋_GB2312" w:cs="仿宋_GB2312"/>
          <w:sz w:val="32"/>
          <w:szCs w:val="32"/>
          <w:highlight w:val="none"/>
          <w:lang w:val="en-US" w:eastAsia="zh-CN"/>
        </w:rPr>
        <w:t>50%予以补贴，最高不超过50万元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推动在对口帮扶地区</w:t>
      </w:r>
      <w:r>
        <w:rPr>
          <w:rFonts w:hint="eastAsia" w:ascii="仿宋_GB2312" w:hAnsi="仿宋_GB2312" w:eastAsia="仿宋_GB2312" w:cs="仿宋_GB2312"/>
          <w:sz w:val="32"/>
          <w:szCs w:val="32"/>
          <w:highlight w:val="none"/>
          <w:lang w:eastAsia="zh-CN"/>
        </w:rPr>
        <w:t>、飞地城市</w:t>
      </w:r>
      <w:r>
        <w:rPr>
          <w:rFonts w:hint="eastAsia" w:ascii="仿宋_GB2312" w:hAnsi="仿宋_GB2312" w:eastAsia="仿宋_GB2312" w:cs="仿宋_GB2312"/>
          <w:sz w:val="32"/>
          <w:szCs w:val="32"/>
          <w:highlight w:val="none"/>
        </w:rPr>
        <w:t>设立</w:t>
      </w:r>
      <w:r>
        <w:rPr>
          <w:rFonts w:hint="eastAsia" w:ascii="仿宋_GB2312" w:hAnsi="仿宋_GB2312" w:eastAsia="仿宋_GB2312" w:cs="仿宋_GB2312"/>
          <w:sz w:val="32"/>
          <w:szCs w:val="32"/>
          <w:highlight w:val="none"/>
          <w:lang w:eastAsia="zh-CN"/>
        </w:rPr>
        <w:t>深圳终端品牌</w:t>
      </w:r>
      <w:r>
        <w:rPr>
          <w:rFonts w:hint="eastAsia" w:ascii="仿宋_GB2312" w:hAnsi="仿宋_GB2312" w:eastAsia="仿宋_GB2312" w:cs="仿宋_GB2312"/>
          <w:sz w:val="32"/>
          <w:szCs w:val="32"/>
          <w:highlight w:val="none"/>
        </w:rPr>
        <w:t>展销中心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楷体_GB2312" w:hAnsi="楷体_GB2312" w:eastAsia="楷体_GB2312" w:cs="楷体_GB2312"/>
          <w:kern w:val="2"/>
          <w:sz w:val="32"/>
          <w:szCs w:val="32"/>
          <w:highlight w:val="none"/>
          <w:lang w:val="en-US" w:eastAsia="zh-CN" w:bidi="ar-SA"/>
        </w:rPr>
        <w:t>责任单位：市商务局、中小企业服务局、乡村振兴和协作交流局</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（十一）推动重点领域应用场景落地。</w:t>
      </w:r>
      <w:r>
        <w:rPr>
          <w:rFonts w:hint="eastAsia" w:ascii="仿宋_GB2312" w:hAnsi="仿宋_GB2312" w:eastAsia="仿宋_GB2312" w:cs="仿宋_GB2312"/>
          <w:color w:val="auto"/>
          <w:sz w:val="32"/>
          <w:szCs w:val="32"/>
          <w:highlight w:val="none"/>
          <w:lang w:val="en-US" w:eastAsia="zh-CN"/>
        </w:rPr>
        <w:t>加快全屋智能产品和方案推广，鼓励新开工建设的保障性住房按照深圳市《居住建筑全屋智能工程技术标准》配置全屋智能产品，并选取不少于5个项目开展全屋智能试点示范。深化虚拟现实技术与各行业融合，率先在党群服务中心、应急安全等公益教育场所、博</w:t>
      </w:r>
      <w:r>
        <w:rPr>
          <w:rFonts w:hint="eastAsia" w:ascii="仿宋_GB2312" w:hAnsi="仿宋_GB2312" w:eastAsia="仿宋_GB2312" w:cs="仿宋_GB2312"/>
          <w:color w:val="auto"/>
          <w:kern w:val="2"/>
          <w:sz w:val="32"/>
          <w:szCs w:val="32"/>
          <w:highlight w:val="none"/>
          <w:lang w:val="en-US" w:eastAsia="zh-CN" w:bidi="ar-SA"/>
        </w:rPr>
        <w:t>物馆等公共</w:t>
      </w:r>
      <w:r>
        <w:rPr>
          <w:rFonts w:hint="eastAsia" w:ascii="仿宋_GB2312" w:hAnsi="仿宋_GB2312" w:eastAsia="仿宋_GB2312" w:cs="仿宋_GB2312"/>
          <w:color w:val="auto"/>
          <w:sz w:val="32"/>
          <w:szCs w:val="32"/>
          <w:highlight w:val="none"/>
          <w:lang w:val="en-US" w:eastAsia="zh-CN"/>
        </w:rPr>
        <w:t>文化场馆配置沉浸式体验设施设备，打造一批虚拟现实体验典型场景。对首次获评工业和信息化部“虚拟现实先锋应用案例”的企业给予30万元一次性奖励。支持龙头企业联合上下游企业、科研机构等建设智能空间实验室、VR/AR领域实验室，围绕产学研展打造新产品新技术创新基地，对获评国家级创新载体的，连续3年每年按照实验室实际运营费用的50%予以最高不超过500万元补贴，该项政策不与我市其他关于国家级创新载体支持政策重复享受</w:t>
      </w:r>
      <w:r>
        <w:rPr>
          <w:rFonts w:hint="eastAsia" w:ascii="仿宋_GB2312" w:hAnsi="仿宋_GB2312" w:eastAsia="仿宋_GB2312" w:cs="仿宋_GB2312"/>
          <w:sz w:val="32"/>
          <w:szCs w:val="32"/>
          <w:highlight w:val="none"/>
          <w:lang w:val="en-US" w:eastAsia="zh-CN"/>
        </w:rPr>
        <w:t>。</w:t>
      </w:r>
      <w:r>
        <w:rPr>
          <w:rFonts w:hint="eastAsia" w:ascii="楷体_GB2312" w:hAnsi="楷体_GB2312" w:eastAsia="楷体_GB2312" w:cs="楷体_GB2312"/>
          <w:color w:val="auto"/>
          <w:sz w:val="32"/>
          <w:szCs w:val="32"/>
          <w:highlight w:val="none"/>
          <w:lang w:val="en-US" w:eastAsia="zh-CN"/>
        </w:rPr>
        <w:t>（责任单位：各区、市住房建设局、文化广电旅游体育局、工业和信息化局）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highlight w:val="none"/>
          <w:lang w:val="en-US" w:eastAsia="zh-CN"/>
        </w:rPr>
        <w:t>（十二）</w:t>
      </w:r>
      <w:r>
        <w:rPr>
          <w:rFonts w:hint="eastAsia" w:ascii="楷体_GB2312" w:hAnsi="楷体_GB2312" w:eastAsia="楷体_GB2312" w:cs="楷体_GB2312"/>
          <w:color w:val="auto"/>
          <w:sz w:val="32"/>
          <w:szCs w:val="32"/>
          <w:highlight w:val="none"/>
          <w:lang w:val="en-US" w:eastAsia="zh-CN"/>
        </w:rPr>
        <w:t>支持新型终端产品应用推广。</w:t>
      </w:r>
      <w:r>
        <w:rPr>
          <w:rFonts w:hint="eastAsia" w:ascii="仿宋_GB2312" w:hAnsi="仿宋_GB2312" w:eastAsia="仿宋_GB2312" w:cs="仿宋_GB2312"/>
          <w:color w:val="auto"/>
          <w:sz w:val="32"/>
          <w:szCs w:val="32"/>
          <w:highlight w:val="none"/>
          <w:lang w:val="en-US" w:eastAsia="zh-CN"/>
        </w:rPr>
        <w:t>发展“银发经济”，对</w:t>
      </w:r>
      <w:r>
        <w:rPr>
          <w:rFonts w:hint="eastAsia" w:ascii="仿宋_GB2312" w:hAnsi="仿宋_GB2312" w:eastAsia="仿宋_GB2312" w:cs="仿宋_GB2312"/>
          <w:color w:val="auto"/>
          <w:sz w:val="32"/>
          <w:szCs w:val="32"/>
          <w:lang w:val="en-US" w:eastAsia="zh-CN"/>
        </w:rPr>
        <w:t>首次进入三部委“智慧健康养老产品及服务推广目录”的企业给予30万元一次性奖励。发展“健康经济”，对首次进入工业和信息化部、国家体育总局智能体育典型案例的企业给予30万元一次性奖励。支持国内联盟或企业主导的标准在智能终端产品应用推广，对应用HDR Vivivd高动态范围、Audio Vivid三维菁彩声、新型短距离无线通信技术(星闪技术）的终端</w:t>
      </w:r>
      <w:r>
        <w:rPr>
          <w:rFonts w:hint="eastAsia" w:ascii="仿宋_GB2312" w:hAnsi="仿宋_GB2312" w:eastAsia="仿宋_GB2312" w:cs="仿宋_GB2312"/>
          <w:color w:val="auto"/>
          <w:sz w:val="32"/>
          <w:szCs w:val="32"/>
          <w:highlight w:val="none"/>
          <w:lang w:val="en-US" w:eastAsia="zh-CN"/>
        </w:rPr>
        <w:t>产品，按照应用产品年度销售额的5%-15%予以最高不超过1000万元资助。</w:t>
      </w:r>
      <w:r>
        <w:rPr>
          <w:rFonts w:hint="eastAsia" w:ascii="楷体_GB2312" w:hAnsi="楷体_GB2312" w:eastAsia="楷体_GB2312" w:cs="楷体_GB2312"/>
          <w:color w:val="auto"/>
          <w:sz w:val="32"/>
          <w:szCs w:val="32"/>
          <w:highlight w:val="none"/>
          <w:lang w:val="en-US" w:eastAsia="zh-CN"/>
        </w:rPr>
        <w:t>（责任单位：市工业和信息化局）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五、强化要素保障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（十三）</w:t>
      </w:r>
      <w:r>
        <w:rPr>
          <w:rFonts w:hint="eastAsia" w:ascii="楷体" w:hAnsi="楷体" w:eastAsia="楷体" w:cs="楷体"/>
          <w:color w:val="auto"/>
          <w:sz w:val="32"/>
          <w:szCs w:val="32"/>
          <w:lang w:val="en-US" w:eastAsia="zh-CN"/>
        </w:rPr>
        <w:t>高标准建设重点园区。</w:t>
      </w:r>
      <w:r>
        <w:rPr>
          <w:rFonts w:hint="eastAsia" w:ascii="仿宋_GB2312" w:hAnsi="仿宋_GB2312" w:eastAsia="仿宋_GB2312" w:cs="仿宋_GB2312"/>
          <w:color w:val="auto"/>
          <w:kern w:val="2"/>
          <w:sz w:val="32"/>
          <w:szCs w:val="32"/>
          <w:lang w:val="en-US" w:eastAsia="zh-CN" w:bidi="ar-SA"/>
        </w:rPr>
        <w:t>依托20大先进制造业园区，面向智能手机、计算机、智能可穿戴设备、VR/AR、智能家居等细分领域建设一批高质量的产业园，推动终端产业集群“工业上楼”。鼓励各区引入专业化服务机构提供园区专业支撑服务，鼓励对入驻园区的智能终端企业给予一定比例的租金补贴。</w:t>
      </w:r>
      <w:r>
        <w:rPr>
          <w:rFonts w:hint="eastAsia" w:ascii="楷体_GB2312" w:hAnsi="楷体_GB2312" w:eastAsia="楷体_GB2312" w:cs="楷体_GB2312"/>
          <w:sz w:val="32"/>
          <w:szCs w:val="32"/>
          <w:lang w:val="en-US" w:eastAsia="zh-CN"/>
        </w:rPr>
        <w:t>（责任单位：各区）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highlight w:val="none"/>
          <w:lang w:val="en-US" w:eastAsia="zh-CN"/>
        </w:rPr>
        <w:t>（十四）支持设立产业基金。</w:t>
      </w:r>
      <w:r>
        <w:rPr>
          <w:rFonts w:hint="eastAsia" w:ascii="仿宋_GB2312" w:hAnsi="仿宋_GB2312" w:eastAsia="仿宋_GB2312" w:cs="仿宋_GB2312"/>
          <w:color w:val="auto"/>
          <w:sz w:val="32"/>
          <w:szCs w:val="32"/>
          <w:highlight w:val="none"/>
          <w:lang w:val="en-US" w:eastAsia="zh-CN"/>
        </w:rPr>
        <w:t>设立智能终端产业发展基金，以智能终端</w:t>
      </w:r>
      <w:r>
        <w:rPr>
          <w:rFonts w:hint="default" w:ascii="仿宋_GB2312" w:hAnsi="仿宋_GB2312" w:eastAsia="仿宋_GB2312" w:cs="仿宋_GB2312"/>
          <w:color w:val="auto"/>
          <w:sz w:val="32"/>
          <w:szCs w:val="32"/>
          <w:highlight w:val="none"/>
          <w:lang w:val="en-US" w:eastAsia="zh-CN"/>
        </w:rPr>
        <w:t>龙头企业及其</w:t>
      </w:r>
      <w:r>
        <w:rPr>
          <w:rFonts w:hint="eastAsia" w:ascii="仿宋_GB2312" w:hAnsi="仿宋_GB2312" w:eastAsia="仿宋_GB2312" w:cs="仿宋_GB2312"/>
          <w:color w:val="auto"/>
          <w:sz w:val="32"/>
          <w:szCs w:val="32"/>
          <w:highlight w:val="none"/>
          <w:lang w:val="en-US" w:eastAsia="zh-CN"/>
        </w:rPr>
        <w:t>产业链上下游</w:t>
      </w:r>
      <w:r>
        <w:rPr>
          <w:rFonts w:hint="default" w:ascii="仿宋_GB2312" w:hAnsi="仿宋_GB2312" w:eastAsia="仿宋_GB2312" w:cs="仿宋_GB2312"/>
          <w:color w:val="auto"/>
          <w:sz w:val="32"/>
          <w:szCs w:val="32"/>
          <w:highlight w:val="none"/>
          <w:lang w:val="en-US" w:eastAsia="zh-CN"/>
        </w:rPr>
        <w:t>企业</w:t>
      </w:r>
      <w:r>
        <w:rPr>
          <w:rFonts w:hint="eastAsia" w:ascii="仿宋_GB2312" w:hAnsi="仿宋_GB2312" w:eastAsia="仿宋_GB2312" w:cs="仿宋_GB2312"/>
          <w:color w:val="auto"/>
          <w:sz w:val="32"/>
          <w:szCs w:val="32"/>
          <w:highlight w:val="none"/>
          <w:lang w:val="en-US" w:eastAsia="zh-CN"/>
        </w:rPr>
        <w:t>和智能座舱、VR/AR、全屋智能等高成长性</w:t>
      </w:r>
      <w:r>
        <w:rPr>
          <w:rFonts w:hint="eastAsia" w:ascii="仿宋_GB2312" w:hAnsi="仿宋_GB2312" w:eastAsia="仿宋_GB2312" w:cs="仿宋_GB2312"/>
          <w:color w:val="auto"/>
          <w:sz w:val="32"/>
          <w:szCs w:val="32"/>
          <w:lang w:val="en-US" w:eastAsia="zh-CN"/>
        </w:rPr>
        <w:t>赛道为重点投资方向，瞄准优质企业挖掘高成长性项目，提升产业聚集度和竞争力。</w:t>
      </w:r>
      <w:r>
        <w:rPr>
          <w:rFonts w:hint="eastAsia" w:ascii="楷体_GB2312" w:hAnsi="楷体_GB2312" w:eastAsia="楷体_GB2312" w:cs="楷体_GB2312"/>
          <w:color w:val="auto"/>
          <w:sz w:val="32"/>
          <w:szCs w:val="32"/>
          <w:lang w:val="en-US" w:eastAsia="zh-CN"/>
        </w:rPr>
        <w:t>（责任单位：市工业和信息化局、财政局）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楷体_GB2312" w:hAnsi="楷体_GB2312" w:eastAsia="楷体_GB2312" w:cs="楷体_GB2312"/>
          <w:color w:val="auto"/>
          <w:sz w:val="32"/>
          <w:szCs w:val="32"/>
          <w:lang w:val="en-US" w:eastAsia="zh-CN"/>
        </w:rPr>
        <w:t>（十五）健全产业公共服务体系。</w:t>
      </w:r>
      <w:r>
        <w:rPr>
          <w:rFonts w:hint="eastAsia" w:ascii="仿宋_GB2312" w:hAnsi="仿宋_GB2312" w:eastAsia="仿宋_GB2312" w:cs="仿宋_GB2312"/>
          <w:color w:val="auto"/>
          <w:sz w:val="32"/>
          <w:szCs w:val="32"/>
          <w:lang w:val="en-US" w:eastAsia="zh-CN"/>
        </w:rPr>
        <w:t>支持龙头企业、科研机构、新型智库等提供资源共享、检验检测、标准制定、决策咨询、行业交流等公共服务。鼓励具有技术优势和号召力的行业领军企业牵头设立智能终端细分领域行业协会。鼓励已成立的智能终端相关产业协会、联盟等社会组织提升产业聚集能力，做强做优做实。</w:t>
      </w:r>
      <w:r>
        <w:rPr>
          <w:rFonts w:hint="eastAsia" w:ascii="楷体_GB2312" w:hAnsi="楷体_GB2312" w:eastAsia="楷体_GB2312" w:cs="楷体_GB2312"/>
          <w:color w:val="auto"/>
          <w:sz w:val="32"/>
          <w:szCs w:val="32"/>
          <w:lang w:val="en-US" w:eastAsia="zh-CN"/>
        </w:rPr>
        <w:t>（责任单位：市工业和信息化局、发展改革委、科技创新委、民政局、市场监督管理局）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六、附则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color w:val="auto"/>
          <w:sz w:val="32"/>
          <w:szCs w:val="32"/>
          <w:lang w:val="en-US" w:eastAsia="zh-CN"/>
        </w:rPr>
        <w:t>本措施由市工业和信息化局负责解释，执行期间如遇国家、省、市有关政策及规定调整的，本措施可进行相应调整。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color w:val="auto"/>
          <w:sz w:val="32"/>
          <w:szCs w:val="32"/>
          <w:lang w:val="en-US" w:eastAsia="zh-CN"/>
        </w:rPr>
        <w:t>各责任单位应当及时制定出台实施细则或操作规程，明确本措施涉及奖补条款具体执行范围。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color w:val="auto"/>
          <w:sz w:val="32"/>
          <w:szCs w:val="32"/>
          <w:lang w:val="en-US" w:eastAsia="zh-CN"/>
        </w:rPr>
        <w:t>本措施与我市市级层面其他同类优惠措施不得重复享受，已按市区两级“一事一议”享受政策支持的，本措施不再予以支持。鼓励各区结合辖区产业规划布局特点制定本辖区智能终端产业发展政策。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四是</w:t>
      </w:r>
      <w:r>
        <w:rPr>
          <w:rFonts w:hint="eastAsia" w:ascii="仿宋_GB2312" w:hAnsi="仿宋_GB2312" w:eastAsia="仿宋_GB2312" w:cs="仿宋_GB2312"/>
          <w:color w:val="auto"/>
          <w:sz w:val="32"/>
          <w:szCs w:val="32"/>
          <w:lang w:val="en-US" w:eastAsia="zh-CN"/>
        </w:rPr>
        <w:t>本措施自2023年X月X日起施行，有效期5年。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FF000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15E04B"/>
    <w:multiLevelType w:val="singleLevel"/>
    <w:tmpl w:val="2E15E04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4NzI4MGIyZDRlMmQyZDM0YzliMTZjMTFkODNmY2QifQ=="/>
  </w:docVars>
  <w:rsids>
    <w:rsidRoot w:val="00000000"/>
    <w:rsid w:val="00226B9C"/>
    <w:rsid w:val="00353E28"/>
    <w:rsid w:val="00E40A12"/>
    <w:rsid w:val="01CC5D6B"/>
    <w:rsid w:val="02F61AC0"/>
    <w:rsid w:val="037F623A"/>
    <w:rsid w:val="03C113B2"/>
    <w:rsid w:val="05006768"/>
    <w:rsid w:val="05110A5B"/>
    <w:rsid w:val="054362D4"/>
    <w:rsid w:val="05947CB7"/>
    <w:rsid w:val="06EF5877"/>
    <w:rsid w:val="08DE0AF4"/>
    <w:rsid w:val="0B2337EB"/>
    <w:rsid w:val="0C135C3C"/>
    <w:rsid w:val="0E1E0BE5"/>
    <w:rsid w:val="0EE53A40"/>
    <w:rsid w:val="0FA66BBA"/>
    <w:rsid w:val="102108AC"/>
    <w:rsid w:val="109E26B2"/>
    <w:rsid w:val="10E42324"/>
    <w:rsid w:val="114A726B"/>
    <w:rsid w:val="12966FAD"/>
    <w:rsid w:val="13E22517"/>
    <w:rsid w:val="14211765"/>
    <w:rsid w:val="14B779E9"/>
    <w:rsid w:val="166F380A"/>
    <w:rsid w:val="169C700D"/>
    <w:rsid w:val="16F963A1"/>
    <w:rsid w:val="17047E2C"/>
    <w:rsid w:val="17DD4EDA"/>
    <w:rsid w:val="17DD7DCB"/>
    <w:rsid w:val="1E623D99"/>
    <w:rsid w:val="1EA60457"/>
    <w:rsid w:val="1F996A89"/>
    <w:rsid w:val="1FDA37BF"/>
    <w:rsid w:val="20FC1196"/>
    <w:rsid w:val="22F0219E"/>
    <w:rsid w:val="23323AEB"/>
    <w:rsid w:val="2361168B"/>
    <w:rsid w:val="2531457D"/>
    <w:rsid w:val="28E16F71"/>
    <w:rsid w:val="2A4D7E38"/>
    <w:rsid w:val="2B7E1B68"/>
    <w:rsid w:val="2D942025"/>
    <w:rsid w:val="2DB95819"/>
    <w:rsid w:val="2E420128"/>
    <w:rsid w:val="2E88231F"/>
    <w:rsid w:val="2ECB74C5"/>
    <w:rsid w:val="2EE04033"/>
    <w:rsid w:val="2FAE333E"/>
    <w:rsid w:val="30C3638E"/>
    <w:rsid w:val="3103696E"/>
    <w:rsid w:val="320843A1"/>
    <w:rsid w:val="33A17986"/>
    <w:rsid w:val="34A56659"/>
    <w:rsid w:val="34FF3D99"/>
    <w:rsid w:val="397741CB"/>
    <w:rsid w:val="3B0C0FAF"/>
    <w:rsid w:val="3B4B7740"/>
    <w:rsid w:val="3BC02199"/>
    <w:rsid w:val="3CAF0EE2"/>
    <w:rsid w:val="3D0E6439"/>
    <w:rsid w:val="3D461674"/>
    <w:rsid w:val="3D681FCA"/>
    <w:rsid w:val="3D8E09CE"/>
    <w:rsid w:val="3DBE4624"/>
    <w:rsid w:val="44AA3AE5"/>
    <w:rsid w:val="455A3F98"/>
    <w:rsid w:val="46076A5E"/>
    <w:rsid w:val="46793B6E"/>
    <w:rsid w:val="46FC50DF"/>
    <w:rsid w:val="476F3710"/>
    <w:rsid w:val="48C80CAA"/>
    <w:rsid w:val="48D3214A"/>
    <w:rsid w:val="48D4589D"/>
    <w:rsid w:val="48E6455A"/>
    <w:rsid w:val="4A78143C"/>
    <w:rsid w:val="4B0D5465"/>
    <w:rsid w:val="4C411429"/>
    <w:rsid w:val="4CA50372"/>
    <w:rsid w:val="4D123956"/>
    <w:rsid w:val="4D5D571C"/>
    <w:rsid w:val="4E5B596D"/>
    <w:rsid w:val="4E977F67"/>
    <w:rsid w:val="5061671A"/>
    <w:rsid w:val="51351F6F"/>
    <w:rsid w:val="5193738A"/>
    <w:rsid w:val="53000CFA"/>
    <w:rsid w:val="54435039"/>
    <w:rsid w:val="54A24902"/>
    <w:rsid w:val="54A95F59"/>
    <w:rsid w:val="55B8665C"/>
    <w:rsid w:val="55C53391"/>
    <w:rsid w:val="55C861A3"/>
    <w:rsid w:val="55C9791B"/>
    <w:rsid w:val="55F870D3"/>
    <w:rsid w:val="57391169"/>
    <w:rsid w:val="577F71D7"/>
    <w:rsid w:val="57F34CAE"/>
    <w:rsid w:val="59296D0D"/>
    <w:rsid w:val="59C83DF0"/>
    <w:rsid w:val="5A553B9C"/>
    <w:rsid w:val="5B1A13B6"/>
    <w:rsid w:val="5B264176"/>
    <w:rsid w:val="5B270FB2"/>
    <w:rsid w:val="5BAB5E05"/>
    <w:rsid w:val="5C08464D"/>
    <w:rsid w:val="5D6F6A48"/>
    <w:rsid w:val="5EF32B47"/>
    <w:rsid w:val="5F6E01C4"/>
    <w:rsid w:val="5FC3788B"/>
    <w:rsid w:val="60033159"/>
    <w:rsid w:val="60C80D5D"/>
    <w:rsid w:val="611512B6"/>
    <w:rsid w:val="61712779"/>
    <w:rsid w:val="629A7C65"/>
    <w:rsid w:val="62B70AA4"/>
    <w:rsid w:val="62EF1825"/>
    <w:rsid w:val="63183BC4"/>
    <w:rsid w:val="64466B66"/>
    <w:rsid w:val="65747E95"/>
    <w:rsid w:val="65D2044D"/>
    <w:rsid w:val="67EE512D"/>
    <w:rsid w:val="684B57AF"/>
    <w:rsid w:val="68C83CB5"/>
    <w:rsid w:val="6B675C60"/>
    <w:rsid w:val="6B7C5BFF"/>
    <w:rsid w:val="6BAA2831"/>
    <w:rsid w:val="6BC90F25"/>
    <w:rsid w:val="6BF71255"/>
    <w:rsid w:val="6C470562"/>
    <w:rsid w:val="6C6D652A"/>
    <w:rsid w:val="6C947C05"/>
    <w:rsid w:val="6CE05D39"/>
    <w:rsid w:val="6D42507C"/>
    <w:rsid w:val="6F247436"/>
    <w:rsid w:val="710D2609"/>
    <w:rsid w:val="764D1017"/>
    <w:rsid w:val="76D01013"/>
    <w:rsid w:val="776A5A9E"/>
    <w:rsid w:val="78F84C5C"/>
    <w:rsid w:val="79711DB5"/>
    <w:rsid w:val="7B7E5B06"/>
    <w:rsid w:val="7CD83260"/>
    <w:rsid w:val="7D044747"/>
    <w:rsid w:val="7D0B1674"/>
    <w:rsid w:val="7E4935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36"/>
      <w:szCs w:val="36"/>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560" w:lineRule="exact"/>
      <w:outlineLvl w:val="3"/>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spacing w:after="120"/>
    </w:pPr>
  </w:style>
  <w:style w:type="paragraph" w:styleId="5">
    <w:name w:val="Title"/>
    <w:next w:val="1"/>
    <w:qFormat/>
    <w:uiPriority w:val="10"/>
    <w:pPr>
      <w:widowControl w:val="0"/>
      <w:spacing w:before="240" w:after="60" w:line="579" w:lineRule="exact"/>
      <w:ind w:firstLine="720" w:firstLineChars="200"/>
      <w:jc w:val="center"/>
      <w:outlineLvl w:val="0"/>
    </w:pPr>
    <w:rPr>
      <w:rFonts w:ascii="Cambria" w:hAnsi="Cambria" w:eastAsia="仿宋_GB2312" w:cs="Times New Roman"/>
      <w:b/>
      <w:bCs/>
      <w:kern w:val="2"/>
      <w:sz w:val="32"/>
      <w:szCs w:val="32"/>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99"/>
    <w:pPr>
      <w:ind w:left="420" w:leftChars="200"/>
    </w:p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0">
    <w:name w:val="Body Text First Indent"/>
    <w:basedOn w:val="4"/>
    <w:unhideWhenUsed/>
    <w:qFormat/>
    <w:uiPriority w:val="0"/>
    <w:pPr>
      <w:ind w:firstLine="420" w:firstLineChars="100"/>
    </w:pPr>
  </w:style>
  <w:style w:type="character" w:styleId="13">
    <w:name w:val="Strong"/>
    <w:basedOn w:val="12"/>
    <w:qFormat/>
    <w:uiPriority w:val="0"/>
    <w:rPr>
      <w:b/>
    </w:rPr>
  </w:style>
  <w:style w:type="character" w:styleId="14">
    <w:name w:val="FollowedHyperlink"/>
    <w:basedOn w:val="12"/>
    <w:qFormat/>
    <w:uiPriority w:val="0"/>
    <w:rPr>
      <w:color w:val="666666"/>
      <w:u w:val="none"/>
    </w:rPr>
  </w:style>
  <w:style w:type="character" w:styleId="15">
    <w:name w:val="Emphasis"/>
    <w:basedOn w:val="12"/>
    <w:qFormat/>
    <w:uiPriority w:val="0"/>
    <w:rPr>
      <w:rFonts w:hint="eastAsia" w:ascii="宋体" w:hAnsi="宋体" w:eastAsia="宋体" w:cs="宋体"/>
    </w:rPr>
  </w:style>
  <w:style w:type="character" w:styleId="16">
    <w:name w:val="HTML Definition"/>
    <w:basedOn w:val="12"/>
    <w:qFormat/>
    <w:uiPriority w:val="0"/>
  </w:style>
  <w:style w:type="character" w:styleId="17">
    <w:name w:val="HTML Acronym"/>
    <w:basedOn w:val="12"/>
    <w:qFormat/>
    <w:uiPriority w:val="0"/>
  </w:style>
  <w:style w:type="character" w:styleId="18">
    <w:name w:val="HTML Variable"/>
    <w:basedOn w:val="12"/>
    <w:qFormat/>
    <w:uiPriority w:val="0"/>
  </w:style>
  <w:style w:type="character" w:styleId="19">
    <w:name w:val="Hyperlink"/>
    <w:basedOn w:val="12"/>
    <w:qFormat/>
    <w:uiPriority w:val="0"/>
    <w:rPr>
      <w:color w:val="666666"/>
      <w:u w:val="none"/>
    </w:rPr>
  </w:style>
  <w:style w:type="character" w:styleId="20">
    <w:name w:val="HTML Code"/>
    <w:basedOn w:val="12"/>
    <w:qFormat/>
    <w:uiPriority w:val="0"/>
    <w:rPr>
      <w:rFonts w:hint="default" w:ascii="Consolas" w:hAnsi="Consolas" w:eastAsia="Consolas" w:cs="Consolas"/>
      <w:color w:val="C7254E"/>
      <w:sz w:val="21"/>
      <w:szCs w:val="21"/>
      <w:shd w:val="clear" w:fill="F8F8F8"/>
    </w:rPr>
  </w:style>
  <w:style w:type="character" w:styleId="21">
    <w:name w:val="HTML Cite"/>
    <w:basedOn w:val="12"/>
    <w:qFormat/>
    <w:uiPriority w:val="0"/>
  </w:style>
  <w:style w:type="character" w:styleId="22">
    <w:name w:val="HTML Keyboard"/>
    <w:basedOn w:val="12"/>
    <w:qFormat/>
    <w:uiPriority w:val="0"/>
    <w:rPr>
      <w:rFonts w:hint="default" w:ascii="Consolas" w:hAnsi="Consolas" w:eastAsia="Consolas" w:cs="Consolas"/>
      <w:sz w:val="21"/>
      <w:szCs w:val="21"/>
    </w:rPr>
  </w:style>
  <w:style w:type="character" w:styleId="23">
    <w:name w:val="HTML Sample"/>
    <w:basedOn w:val="12"/>
    <w:qFormat/>
    <w:uiPriority w:val="0"/>
    <w:rPr>
      <w:rFonts w:hint="default" w:ascii="Consolas" w:hAnsi="Consolas" w:eastAsia="Consolas" w:cs="Consolas"/>
      <w:sz w:val="21"/>
      <w:szCs w:val="21"/>
    </w:rPr>
  </w:style>
  <w:style w:type="character" w:customStyle="1" w:styleId="24">
    <w:name w:val="first-child"/>
    <w:basedOn w:val="12"/>
    <w:qFormat/>
    <w:uiPriority w:val="0"/>
  </w:style>
  <w:style w:type="character" w:customStyle="1" w:styleId="25">
    <w:name w:val="first-child1"/>
    <w:basedOn w:val="12"/>
    <w:qFormat/>
    <w:uiPriority w:val="0"/>
  </w:style>
  <w:style w:type="character" w:customStyle="1" w:styleId="26">
    <w:name w:val="first-child2"/>
    <w:basedOn w:val="12"/>
    <w:qFormat/>
    <w:uiPriority w:val="0"/>
  </w:style>
  <w:style w:type="character" w:customStyle="1" w:styleId="27">
    <w:name w:val="s13"/>
    <w:basedOn w:val="12"/>
    <w:qFormat/>
    <w:uiPriority w:val="0"/>
    <w:rPr>
      <w:color w:val="FFFFFF"/>
      <w:shd w:val="clear" w:fill="ABABAB"/>
    </w:rPr>
  </w:style>
  <w:style w:type="character" w:customStyle="1" w:styleId="28">
    <w:name w:val="s12"/>
    <w:basedOn w:val="12"/>
    <w:qFormat/>
    <w:uiPriority w:val="0"/>
    <w:rPr>
      <w:color w:val="FFFFFF"/>
      <w:shd w:val="clear" w:fill="06C1AE"/>
    </w:rPr>
  </w:style>
  <w:style w:type="character" w:customStyle="1" w:styleId="29">
    <w:name w:val="after"/>
    <w:basedOn w:val="12"/>
    <w:qFormat/>
    <w:uiPriority w:val="0"/>
    <w:rPr>
      <w:shd w:val="clear" w:fill="FFFFFF"/>
    </w:rPr>
  </w:style>
  <w:style w:type="character" w:customStyle="1" w:styleId="30">
    <w:name w:val="after1"/>
    <w:basedOn w:val="12"/>
    <w:qFormat/>
    <w:uiPriority w:val="0"/>
  </w:style>
  <w:style w:type="character" w:customStyle="1" w:styleId="31">
    <w:name w:val="after2"/>
    <w:basedOn w:val="12"/>
    <w:qFormat/>
    <w:uiPriority w:val="0"/>
    <w:rPr>
      <w:shd w:val="clear" w:fill="448BDD"/>
    </w:rPr>
  </w:style>
  <w:style w:type="character" w:customStyle="1" w:styleId="32">
    <w:name w:val="before"/>
    <w:basedOn w:val="12"/>
    <w:qFormat/>
    <w:uiPriority w:val="0"/>
    <w:rPr>
      <w:shd w:val="clear" w:fill="FFFFFF"/>
    </w:rPr>
  </w:style>
  <w:style w:type="character" w:customStyle="1" w:styleId="33">
    <w:name w:val="on12"/>
    <w:basedOn w:val="12"/>
    <w:qFormat/>
    <w:uiPriority w:val="0"/>
    <w:rPr>
      <w:color w:val="3D8DDC"/>
    </w:rPr>
  </w:style>
  <w:style w:type="character" w:customStyle="1" w:styleId="34">
    <w:name w:val="after3"/>
    <w:basedOn w:val="12"/>
    <w:qFormat/>
    <w:uiPriority w:val="0"/>
    <w:rPr>
      <w:shd w:val="clear" w:fill="448BDD"/>
    </w:rPr>
  </w:style>
  <w:style w:type="character" w:customStyle="1" w:styleId="35">
    <w:name w:val="after4"/>
    <w:basedOn w:val="12"/>
    <w:qFormat/>
    <w:uiPriority w:val="0"/>
    <w:rPr>
      <w:shd w:val="clear" w:fill="FFFFFF"/>
    </w:rPr>
  </w:style>
  <w:style w:type="character" w:customStyle="1" w:styleId="36">
    <w:name w:val="swiper-active-switch"/>
    <w:basedOn w:val="12"/>
    <w:qFormat/>
    <w:uiPriority w:val="0"/>
    <w:rPr>
      <w:shd w:val="clear" w:fill="6A6A6A"/>
    </w:rPr>
  </w:style>
  <w:style w:type="character" w:customStyle="1" w:styleId="37">
    <w:name w:val="am-datepicker-hour"/>
    <w:basedOn w:val="12"/>
    <w:qFormat/>
    <w:uiPriority w:val="0"/>
  </w:style>
  <w:style w:type="character" w:customStyle="1" w:styleId="38">
    <w:name w:val="am-datepicker-old"/>
    <w:basedOn w:val="12"/>
    <w:qFormat/>
    <w:uiPriority w:val="0"/>
    <w:rPr>
      <w:color w:val="89D7FF"/>
    </w:rPr>
  </w:style>
  <w:style w:type="character" w:customStyle="1" w:styleId="39">
    <w:name w:val="am-datepicker-old1"/>
    <w:basedOn w:val="12"/>
    <w:qFormat/>
    <w:uiPriority w:val="0"/>
    <w:rPr>
      <w:color w:val="94DF94"/>
    </w:rPr>
  </w:style>
  <w:style w:type="character" w:customStyle="1" w:styleId="40">
    <w:name w:val="am-datepicker-old2"/>
    <w:basedOn w:val="12"/>
    <w:qFormat/>
    <w:uiPriority w:val="0"/>
    <w:rPr>
      <w:color w:val="F59490"/>
    </w:rPr>
  </w:style>
  <w:style w:type="character" w:customStyle="1" w:styleId="41">
    <w:name w:val="am-datepicker-old3"/>
    <w:basedOn w:val="12"/>
    <w:qFormat/>
    <w:uiPriority w:val="0"/>
    <w:rPr>
      <w:color w:val="FFAD6D"/>
    </w:rPr>
  </w:style>
  <w:style w:type="character" w:customStyle="1" w:styleId="42">
    <w:name w:val="hover20"/>
    <w:basedOn w:val="12"/>
    <w:qFormat/>
    <w:uiPriority w:val="0"/>
    <w:rPr>
      <w:shd w:val="clear" w:fill="F0F0F0"/>
    </w:rPr>
  </w:style>
  <w:style w:type="character" w:customStyle="1" w:styleId="43">
    <w:name w:val="am-active17"/>
    <w:basedOn w:val="12"/>
    <w:qFormat/>
    <w:uiPriority w:val="0"/>
    <w:rPr>
      <w:color w:val="0084C7"/>
      <w:shd w:val="clear" w:fill="F0F0F0"/>
    </w:rPr>
  </w:style>
  <w:style w:type="character" w:customStyle="1" w:styleId="44">
    <w:name w:val="am-active18"/>
    <w:basedOn w:val="12"/>
    <w:qFormat/>
    <w:uiPriority w:val="0"/>
    <w:rPr>
      <w:color w:val="1B961B"/>
    </w:rPr>
  </w:style>
  <w:style w:type="character" w:customStyle="1" w:styleId="45">
    <w:name w:val="am-active19"/>
    <w:basedOn w:val="12"/>
    <w:qFormat/>
    <w:uiPriority w:val="0"/>
    <w:rPr>
      <w:color w:val="C10802"/>
    </w:rPr>
  </w:style>
  <w:style w:type="character" w:customStyle="1" w:styleId="46">
    <w:name w:val="am-active20"/>
    <w:basedOn w:val="12"/>
    <w:qFormat/>
    <w:uiPriority w:val="0"/>
    <w:rPr>
      <w:color w:val="AA4B00"/>
    </w:rPr>
  </w:style>
  <w:style w:type="character" w:customStyle="1" w:styleId="47">
    <w:name w:val="am-disabled16"/>
    <w:basedOn w:val="12"/>
    <w:qFormat/>
    <w:uiPriority w:val="0"/>
    <w:rPr>
      <w:color w:val="999999"/>
      <w:shd w:val="clear" w:fill="FAFAFA"/>
    </w:rPr>
  </w:style>
  <w:style w:type="character" w:customStyle="1" w:styleId="48">
    <w:name w:val="am-disabled"/>
    <w:basedOn w:val="12"/>
    <w:qFormat/>
    <w:uiPriority w:val="0"/>
    <w:rPr>
      <w:color w:val="999999"/>
      <w:shd w:val="clear" w:fill="FAFAFA"/>
    </w:rPr>
  </w:style>
  <w:style w:type="character" w:customStyle="1" w:styleId="49">
    <w:name w:val="am-active9"/>
    <w:basedOn w:val="12"/>
    <w:qFormat/>
    <w:uiPriority w:val="0"/>
    <w:rPr>
      <w:color w:val="AA4B00"/>
    </w:rPr>
  </w:style>
  <w:style w:type="character" w:customStyle="1" w:styleId="50">
    <w:name w:val="am-active10"/>
    <w:basedOn w:val="12"/>
    <w:qFormat/>
    <w:uiPriority w:val="0"/>
    <w:rPr>
      <w:color w:val="1B961B"/>
    </w:rPr>
  </w:style>
  <w:style w:type="character" w:customStyle="1" w:styleId="51">
    <w:name w:val="am-active11"/>
    <w:basedOn w:val="12"/>
    <w:qFormat/>
    <w:uiPriority w:val="0"/>
    <w:rPr>
      <w:color w:val="0084C7"/>
      <w:shd w:val="clear" w:fill="F0F0F0"/>
    </w:rPr>
  </w:style>
  <w:style w:type="character" w:customStyle="1" w:styleId="52">
    <w:name w:val="am-active12"/>
    <w:basedOn w:val="12"/>
    <w:qFormat/>
    <w:uiPriority w:val="0"/>
    <w:rPr>
      <w:color w:val="C10802"/>
    </w:rPr>
  </w:style>
  <w:style w:type="character" w:customStyle="1" w:styleId="53">
    <w:name w:val="hover19"/>
    <w:basedOn w:val="12"/>
    <w:qFormat/>
    <w:uiPriority w:val="0"/>
    <w:rPr>
      <w:shd w:val="clear" w:fill="F0F0F0"/>
    </w:rPr>
  </w:style>
  <w:style w:type="character" w:customStyle="1" w:styleId="54">
    <w:name w:val="nth-of-type(1)"/>
    <w:basedOn w:val="12"/>
    <w:qFormat/>
    <w:uiPriority w:val="0"/>
  </w:style>
  <w:style w:type="character" w:customStyle="1" w:styleId="55">
    <w:name w:val="nth-of-type(2)"/>
    <w:basedOn w:val="12"/>
    <w:qFormat/>
    <w:uiPriority w:val="0"/>
  </w:style>
  <w:style w:type="character" w:customStyle="1" w:styleId="56">
    <w:name w:val="nth-of-type(2)1"/>
    <w:basedOn w:val="12"/>
    <w:qFormat/>
    <w:uiPriority w:val="0"/>
  </w:style>
  <w:style w:type="character" w:customStyle="1" w:styleId="57">
    <w:name w:val="nth-of-type(2)2"/>
    <w:basedOn w:val="12"/>
    <w:qFormat/>
    <w:uiPriority w:val="0"/>
  </w:style>
  <w:style w:type="character" w:customStyle="1" w:styleId="58">
    <w:name w:val="nth-of-type(2)3"/>
    <w:basedOn w:val="12"/>
    <w:qFormat/>
    <w:uiPriority w:val="0"/>
  </w:style>
  <w:style w:type="character" w:customStyle="1" w:styleId="59">
    <w:name w:val="nth-of-type(2)4"/>
    <w:basedOn w:val="12"/>
    <w:qFormat/>
    <w:uiPriority w:val="0"/>
  </w:style>
  <w:style w:type="character" w:customStyle="1" w:styleId="60">
    <w:name w:val="first-of-type"/>
    <w:basedOn w:val="12"/>
    <w:qFormat/>
    <w:uiPriority w:val="0"/>
  </w:style>
  <w:style w:type="character" w:customStyle="1" w:styleId="61">
    <w:name w:val="first-of-type1"/>
    <w:basedOn w:val="12"/>
    <w:qFormat/>
    <w:uiPriority w:val="0"/>
  </w:style>
  <w:style w:type="character" w:customStyle="1" w:styleId="62">
    <w:name w:val="index-module_accountauthentication_3bwix"/>
    <w:basedOn w:val="12"/>
    <w:qFormat/>
    <w:uiPriority w:val="0"/>
  </w:style>
  <w:style w:type="character" w:customStyle="1" w:styleId="63">
    <w:name w:val="hover4"/>
    <w:basedOn w:val="12"/>
    <w:qFormat/>
    <w:uiPriority w:val="0"/>
    <w:rPr>
      <w:color w:val="315EFB"/>
    </w:rPr>
  </w:style>
  <w:style w:type="character" w:customStyle="1" w:styleId="64">
    <w:name w:val="hover"/>
    <w:basedOn w:val="12"/>
    <w:qFormat/>
    <w:uiPriority w:val="0"/>
    <w:rPr>
      <w:color w:val="5FB878"/>
    </w:rPr>
  </w:style>
  <w:style w:type="character" w:customStyle="1" w:styleId="65">
    <w:name w:val="hover1"/>
    <w:basedOn w:val="12"/>
    <w:qFormat/>
    <w:uiPriority w:val="0"/>
    <w:rPr>
      <w:color w:val="208CF7"/>
    </w:rPr>
  </w:style>
  <w:style w:type="character" w:customStyle="1" w:styleId="66">
    <w:name w:val="hover2"/>
    <w:basedOn w:val="12"/>
    <w:qFormat/>
    <w:uiPriority w:val="0"/>
    <w:rPr>
      <w:color w:val="FF7E0B"/>
    </w:rPr>
  </w:style>
  <w:style w:type="character" w:customStyle="1" w:styleId="67">
    <w:name w:val="hover3"/>
    <w:basedOn w:val="12"/>
    <w:qFormat/>
    <w:uiPriority w:val="0"/>
    <w:rPr>
      <w:color w:val="FFFFFF"/>
    </w:rPr>
  </w:style>
  <w:style w:type="character" w:customStyle="1" w:styleId="68">
    <w:name w:val="addthis_follow_label"/>
    <w:basedOn w:val="12"/>
    <w:qFormat/>
    <w:uiPriority w:val="0"/>
    <w:rPr>
      <w:vanish/>
    </w:rPr>
  </w:style>
  <w:style w:type="character" w:customStyle="1" w:styleId="69">
    <w:name w:val="current"/>
    <w:basedOn w:val="12"/>
    <w:qFormat/>
    <w:uiPriority w:val="0"/>
    <w:rPr>
      <w:color w:val="FFFFFF"/>
      <w:shd w:val="clear" w:fill="FF7E0B"/>
    </w:rPr>
  </w:style>
  <w:style w:type="character" w:customStyle="1" w:styleId="70">
    <w:name w:val="c-icon"/>
    <w:basedOn w:val="12"/>
    <w:qFormat/>
    <w:uiPriority w:val="0"/>
  </w:style>
  <w:style w:type="character" w:customStyle="1" w:styleId="71">
    <w:name w:val="hover27"/>
    <w:basedOn w:val="12"/>
    <w:qFormat/>
    <w:uiPriority w:val="0"/>
  </w:style>
  <w:style w:type="character" w:customStyle="1" w:styleId="72">
    <w:name w:val="hover28"/>
    <w:basedOn w:val="12"/>
    <w:qFormat/>
    <w:uiPriority w:val="0"/>
    <w:rPr>
      <w:color w:val="315EFB"/>
    </w:rPr>
  </w:style>
  <w:style w:type="character" w:customStyle="1" w:styleId="73">
    <w:name w:val="content-right_8zs401"/>
    <w:basedOn w:val="12"/>
    <w:qFormat/>
    <w:uiPriority w:val="0"/>
  </w:style>
  <w:style w:type="character" w:customStyle="1" w:styleId="74">
    <w:name w:val="curre"/>
    <w:basedOn w:val="12"/>
    <w:qFormat/>
    <w:uiPriority w:val="0"/>
    <w:rPr>
      <w:color w:val="FFFFFF"/>
      <w:shd w:val="clear" w:fill="2F6EA2"/>
    </w:rPr>
  </w:style>
  <w:style w:type="character" w:customStyle="1" w:styleId="75">
    <w:name w:val="c-icon28"/>
    <w:basedOn w:val="12"/>
    <w:qFormat/>
    <w:uiPriority w:val="0"/>
  </w:style>
  <w:style w:type="character" w:customStyle="1" w:styleId="76">
    <w:name w:val="hover25"/>
    <w:basedOn w:val="12"/>
    <w:qFormat/>
    <w:uiPriority w:val="0"/>
    <w:rPr>
      <w:color w:val="315EFB"/>
    </w:rPr>
  </w:style>
  <w:style w:type="character" w:customStyle="1" w:styleId="77">
    <w:name w:val="hover26"/>
    <w:basedOn w:val="12"/>
    <w:qFormat/>
    <w:uiPriority w:val="0"/>
  </w:style>
  <w:style w:type="character" w:customStyle="1" w:styleId="78">
    <w:name w:val="hover24"/>
    <w:basedOn w:val="12"/>
    <w:qFormat/>
    <w:uiPriority w:val="0"/>
  </w:style>
  <w:style w:type="character" w:customStyle="1" w:styleId="79">
    <w:name w:val="_3bwix"/>
    <w:basedOn w:val="12"/>
    <w:qFormat/>
    <w:uiPriority w:val="0"/>
  </w:style>
  <w:style w:type="character" w:customStyle="1" w:styleId="80">
    <w:name w:val="not([class*=suffix])"/>
    <w:basedOn w:val="12"/>
    <w:qFormat/>
    <w:uiPriority w:val="0"/>
    <w:rPr>
      <w:sz w:val="19"/>
      <w:szCs w:val="19"/>
    </w:rPr>
  </w:style>
  <w:style w:type="character" w:customStyle="1" w:styleId="81">
    <w:name w:val="not([class*=suffix])1"/>
    <w:basedOn w:val="12"/>
    <w:qFormat/>
    <w:uiPriority w:val="0"/>
  </w:style>
  <w:style w:type="character" w:customStyle="1" w:styleId="82">
    <w:name w:val="zx3"/>
    <w:basedOn w:val="12"/>
    <w:qFormat/>
    <w:uiPriority w:val="0"/>
  </w:style>
  <w:style w:type="character" w:customStyle="1" w:styleId="83">
    <w:name w:val="zx1"/>
    <w:basedOn w:val="12"/>
    <w:qFormat/>
    <w:uiPriority w:val="0"/>
  </w:style>
  <w:style w:type="character" w:customStyle="1" w:styleId="84">
    <w:name w:val="next1"/>
    <w:basedOn w:val="12"/>
    <w:qFormat/>
    <w:uiPriority w:val="0"/>
  </w:style>
  <w:style w:type="character" w:customStyle="1" w:styleId="85">
    <w:name w:val="first-child3"/>
    <w:basedOn w:val="12"/>
    <w:qFormat/>
    <w:uiPriority w:val="0"/>
  </w:style>
  <w:style w:type="character" w:customStyle="1" w:styleId="86">
    <w:name w:val="xz1"/>
    <w:basedOn w:val="12"/>
    <w:qFormat/>
    <w:uiPriority w:val="0"/>
  </w:style>
  <w:style w:type="character" w:customStyle="1" w:styleId="87">
    <w:name w:val="prev"/>
    <w:basedOn w:val="12"/>
    <w:qFormat/>
    <w:uiPriority w:val="0"/>
  </w:style>
  <w:style w:type="character" w:customStyle="1" w:styleId="88">
    <w:name w:val="active7"/>
    <w:basedOn w:val="12"/>
    <w:qFormat/>
    <w:uiPriority w:val="0"/>
    <w:rPr>
      <w:color w:val="FFFFFF"/>
      <w:shd w:val="clear" w:fill="9DBD16"/>
    </w:rPr>
  </w:style>
  <w:style w:type="character" w:customStyle="1" w:styleId="89">
    <w:name w:val="active8"/>
    <w:basedOn w:val="12"/>
    <w:qFormat/>
    <w:uiPriority w:val="0"/>
  </w:style>
  <w:style w:type="character" w:customStyle="1" w:styleId="90">
    <w:name w:val="active9"/>
    <w:basedOn w:val="12"/>
    <w:qFormat/>
    <w:uiPriority w:val="0"/>
    <w:rPr>
      <w:color w:val="155683"/>
      <w:shd w:val="clear" w:fill="FFFFFF"/>
    </w:rPr>
  </w:style>
  <w:style w:type="character" w:customStyle="1" w:styleId="91">
    <w:name w:val="active10"/>
    <w:basedOn w:val="12"/>
    <w:qFormat/>
    <w:uiPriority w:val="0"/>
    <w:rPr>
      <w:bdr w:val="single" w:color="A3C31D" w:sz="6" w:space="0"/>
      <w:shd w:val="clear" w:fill="A3C31D"/>
    </w:rPr>
  </w:style>
  <w:style w:type="character" w:customStyle="1" w:styleId="92">
    <w:name w:val="active11"/>
    <w:basedOn w:val="12"/>
    <w:qFormat/>
    <w:uiPriority w:val="0"/>
  </w:style>
  <w:style w:type="character" w:customStyle="1" w:styleId="93">
    <w:name w:val="active12"/>
    <w:basedOn w:val="12"/>
    <w:qFormat/>
    <w:uiPriority w:val="0"/>
    <w:rPr>
      <w:color w:val="FFFFFF"/>
      <w:shd w:val="clear" w:fill="155683"/>
    </w:rPr>
  </w:style>
  <w:style w:type="character" w:customStyle="1" w:styleId="94">
    <w:name w:val="xz4"/>
    <w:basedOn w:val="12"/>
    <w:qFormat/>
    <w:uiPriority w:val="0"/>
  </w:style>
  <w:style w:type="character" w:customStyle="1" w:styleId="95">
    <w:name w:val="bz1"/>
    <w:basedOn w:val="12"/>
    <w:qFormat/>
    <w:uiPriority w:val="0"/>
    <w:rPr>
      <w:caps/>
      <w:color w:val="999999"/>
      <w:sz w:val="24"/>
      <w:szCs w:val="24"/>
    </w:rPr>
  </w:style>
  <w:style w:type="character" w:customStyle="1" w:styleId="96">
    <w:name w:val="zx2"/>
    <w:basedOn w:val="12"/>
    <w:qFormat/>
    <w:uiPriority w:val="0"/>
  </w:style>
  <w:style w:type="character" w:customStyle="1" w:styleId="97">
    <w:name w:val="right"/>
    <w:basedOn w:val="12"/>
    <w:qFormat/>
    <w:uiPriority w:val="0"/>
  </w:style>
  <w:style w:type="character" w:customStyle="1" w:styleId="98">
    <w:name w:val="bz2"/>
    <w:basedOn w:val="12"/>
    <w:qFormat/>
    <w:uiPriority w:val="0"/>
    <w:rPr>
      <w:color w:val="313131"/>
      <w:sz w:val="21"/>
      <w:szCs w:val="21"/>
    </w:rPr>
  </w:style>
  <w:style w:type="character" w:customStyle="1" w:styleId="99">
    <w:name w:val="xz2"/>
    <w:basedOn w:val="12"/>
    <w:qFormat/>
    <w:uiPriority w:val="0"/>
  </w:style>
  <w:style w:type="character" w:customStyle="1" w:styleId="100">
    <w:name w:val="xz3"/>
    <w:basedOn w:val="12"/>
    <w:qFormat/>
    <w:uiPriority w:val="0"/>
  </w:style>
  <w:style w:type="character" w:customStyle="1" w:styleId="101">
    <w:name w:val="last-child4"/>
    <w:basedOn w:val="12"/>
    <w:qFormat/>
    <w:uiPriority w:val="0"/>
  </w:style>
  <w:style w:type="paragraph" w:customStyle="1" w:styleId="10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character" w:customStyle="1" w:styleId="103">
    <w:name w:val="layui-this"/>
    <w:basedOn w:val="12"/>
    <w:qFormat/>
    <w:uiPriority w:val="0"/>
    <w:rPr>
      <w:bdr w:val="single" w:color="EEEEEE" w:sz="6" w:space="0"/>
      <w:shd w:val="clear" w:fill="FFFFFF"/>
    </w:rPr>
  </w:style>
  <w:style w:type="character" w:customStyle="1" w:styleId="104">
    <w:name w:val="hover5"/>
    <w:basedOn w:val="12"/>
    <w:qFormat/>
    <w:uiPriority w:val="0"/>
    <w:rPr>
      <w:color w:val="5FB878"/>
    </w:rPr>
  </w:style>
  <w:style w:type="character" w:customStyle="1" w:styleId="105">
    <w:name w:val="hover6"/>
    <w:basedOn w:val="12"/>
    <w:qFormat/>
    <w:uiPriority w:val="0"/>
    <w:rPr>
      <w:color w:val="FFFFFF"/>
    </w:rPr>
  </w:style>
  <w:style w:type="character" w:customStyle="1" w:styleId="106">
    <w:name w:val="qq_login_logo"/>
    <w:basedOn w:val="12"/>
    <w:qFormat/>
    <w:uiPriority w:val="0"/>
  </w:style>
  <w:style w:type="character" w:customStyle="1" w:styleId="107">
    <w:name w:val="font"/>
    <w:basedOn w:val="12"/>
    <w:qFormat/>
    <w:uiPriority w:val="0"/>
    <w:rPr>
      <w:rFonts w:ascii="Tahoma" w:hAnsi="Tahoma" w:eastAsia="Tahoma" w:cs="Tahoma"/>
    </w:rPr>
  </w:style>
  <w:style w:type="character" w:customStyle="1" w:styleId="108">
    <w:name w:val="current1"/>
    <w:basedOn w:val="12"/>
    <w:qFormat/>
    <w:uiPriority w:val="0"/>
    <w:rPr>
      <w:shd w:val="clear" w:fill="C90020"/>
    </w:rPr>
  </w:style>
  <w:style w:type="character" w:customStyle="1" w:styleId="109">
    <w:name w:val="on"/>
    <w:basedOn w:val="12"/>
    <w:qFormat/>
    <w:uiPriority w:val="0"/>
    <w:rPr>
      <w:shd w:val="clear"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769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Trumpet</cp:lastModifiedBy>
  <cp:lastPrinted>2023-10-26T03:45:54Z</cp:lastPrinted>
  <dcterms:modified xsi:type="dcterms:W3CDTF">2023-10-26T04:02:54Z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590D0AC095774584BFE5F2D98775BF58</vt:lpwstr>
  </property>
</Properties>
</file>