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202</w:t>
      </w:r>
      <w:r>
        <w:rPr>
          <w:rFonts w:hint="eastAsia" w:ascii="方正小标宋_GBK" w:hAnsi="方正小标宋_GBK" w:eastAsia="方正小标宋_GBK"/>
          <w:sz w:val="44"/>
          <w:szCs w:val="44"/>
          <w:lang w:val="en-US" w:eastAsia="zh-CN"/>
        </w:rPr>
        <w:t>3</w:t>
      </w:r>
      <w:r>
        <w:rPr>
          <w:rFonts w:hint="eastAsia" w:ascii="方正小标宋_GBK" w:hAnsi="方正小标宋_GBK" w:eastAsia="方正小标宋_GBK"/>
          <w:sz w:val="44"/>
          <w:szCs w:val="44"/>
        </w:rPr>
        <w:t>年产业知识产权联盟项目申报指南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本项目应由联盟的秘书单位或发起企业提出申请</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联盟所属产业符合光明区及以上政府重点规划支持的产业</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highlight w:val="none"/>
        </w:rPr>
        <w:t>联盟已向市知识产权主管部门备案，成立2年以上</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highlight w:val="none"/>
        </w:rPr>
        <w:t>在光明区连续运作一年以上，有稳定的工作场所，配备专职工作人员，工作机制完备。</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（九）</w:t>
      </w:r>
      <w:r>
        <w:rPr>
          <w:rFonts w:hint="eastAsia" w:ascii="仿宋_GB2312" w:hAnsi="楷体_GB2312" w:eastAsia="仿宋_GB2312" w:cs="楷体_GB2312"/>
          <w:sz w:val="32"/>
          <w:szCs w:val="32"/>
          <w:highlight w:val="none"/>
        </w:rPr>
        <w:t>联盟成员单位拥有知识产权（含专利、商标、著作权等，下同）数量合计需达到100件以上，且近2年持续增长。</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（十）</w:t>
      </w:r>
      <w:r>
        <w:rPr>
          <w:rFonts w:hint="eastAsia" w:ascii="仿宋_GB2312" w:hAnsi="楷体_GB2312" w:eastAsia="仿宋_GB2312" w:cs="楷体_GB2312"/>
          <w:sz w:val="32"/>
          <w:szCs w:val="32"/>
          <w:highlight w:val="none"/>
        </w:rPr>
        <w:t>联盟</w:t>
      </w:r>
      <w:r>
        <w:rPr>
          <w:rFonts w:hint="eastAsia" w:ascii="仿宋_GB2312" w:hAnsi="楷体_GB2312" w:eastAsia="仿宋_GB2312" w:cs="楷体_GB2312"/>
          <w:sz w:val="32"/>
          <w:szCs w:val="32"/>
          <w:highlight w:val="none"/>
          <w:lang w:eastAsia="zh-CN"/>
        </w:rPr>
        <w:t>前两年</w:t>
      </w:r>
      <w:r>
        <w:rPr>
          <w:rFonts w:hint="eastAsia" w:ascii="仿宋_GB2312" w:hAnsi="楷体_GB2312" w:eastAsia="仿宋_GB2312" w:cs="楷体_GB2312"/>
          <w:sz w:val="32"/>
          <w:szCs w:val="32"/>
          <w:highlight w:val="none"/>
        </w:rPr>
        <w:t>未获得过本条资助</w:t>
      </w:r>
      <w:r>
        <w:rPr>
          <w:rFonts w:hint="eastAsia" w:ascii="仿宋_GB2312" w:hAnsi="楷体_GB2312" w:eastAsia="仿宋_GB2312" w:cs="楷体_GB2312"/>
          <w:sz w:val="32"/>
          <w:szCs w:val="32"/>
          <w:highlight w:val="none"/>
          <w:lang w:eastAsia="zh-CN"/>
        </w:rPr>
        <w:t>，申请年度</w:t>
      </w:r>
      <w:r>
        <w:rPr>
          <w:rFonts w:hint="eastAsia" w:ascii="仿宋_GB2312" w:hAnsi="楷体_GB2312" w:eastAsia="仿宋_GB2312" w:cs="楷体_GB2312"/>
          <w:sz w:val="32"/>
          <w:szCs w:val="32"/>
          <w:highlight w:val="none"/>
        </w:rPr>
        <w:t>未获得过深圳市产业知识产权联盟</w:t>
      </w:r>
      <w:r>
        <w:rPr>
          <w:rFonts w:hint="eastAsia" w:ascii="仿宋_GB2312" w:hAnsi="楷体_GB2312" w:eastAsia="仿宋_GB2312" w:cs="楷体_GB2312"/>
          <w:sz w:val="32"/>
          <w:szCs w:val="32"/>
          <w:highlight w:val="none"/>
          <w:lang w:eastAsia="zh-CN"/>
        </w:rPr>
        <w:t>项目</w:t>
      </w:r>
      <w:r>
        <w:rPr>
          <w:rFonts w:hint="eastAsia" w:ascii="仿宋_GB2312" w:hAnsi="楷体_GB2312" w:eastAsia="仿宋_GB2312" w:cs="楷体_GB2312"/>
          <w:sz w:val="32"/>
          <w:szCs w:val="32"/>
          <w:highlight w:val="none"/>
        </w:rPr>
        <w:t>资助。</w:t>
      </w:r>
    </w:p>
    <w:p>
      <w:pPr>
        <w:kinsoku/>
        <w:overflowPunct w:val="0"/>
        <w:autoSpaceDE w:val="0"/>
        <w:autoSpaceDN w:val="0"/>
        <w:spacing w:line="560" w:lineRule="exact"/>
        <w:ind w:firstLine="640" w:firstLineChars="200"/>
        <w:jc w:val="both"/>
        <w:rPr>
          <w:rFonts w:hint="eastAsia"/>
          <w:lang w:eastAsia="zh-CN"/>
        </w:rPr>
      </w:pPr>
      <w:r>
        <w:rPr>
          <w:rFonts w:hint="eastAsia" w:ascii="仿宋_GB2312" w:eastAsia="仿宋_GB2312" w:cs="宋体"/>
          <w:kern w:val="2"/>
          <w:sz w:val="32"/>
          <w:szCs w:val="32"/>
          <w:highlight w:val="none"/>
          <w:lang w:eastAsia="zh-CN"/>
        </w:rPr>
        <w:t>（十一）</w:t>
      </w:r>
      <w:r>
        <w:rPr>
          <w:rFonts w:hint="eastAsia" w:ascii="仿宋_GB2312" w:hAnsi="楷体_GB2312" w:eastAsia="仿宋_GB2312" w:cs="楷体_GB2312"/>
          <w:sz w:val="32"/>
          <w:szCs w:val="32"/>
          <w:highlight w:val="none"/>
        </w:rPr>
        <w:t>同一年度同一申请单位，不可同时申请本条与专利导航项目、知识产权运营中心项目、知识产权保护工作站项目。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建立产业知识产权联盟的证明材料、联盟备案申请书、联盟章程。</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联盟符合光明区及以上政府产业政策导向的相关证明材料。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联盟办公场地情况、租赁合同或房产证明。</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联盟专职工作人员信息，如：人员名册、聘用关系证明（如</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纳税证明、劳动合同、社保缴纳证明）、人员资质证书、职称证书等。</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联盟成员单位拥有知识产权数量、清单、年度增长情况。</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十一</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联盟年度工作报告，如：知识产权数据库建设、专利池组建、知识产权许可转让或知识产权预警分析、知识产权维权</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color w:val="auto"/>
          <w:kern w:val="2"/>
          <w:sz w:val="32"/>
          <w:szCs w:val="32"/>
          <w:highlight w:val="none"/>
          <w:lang w:eastAsia="zh-CN"/>
        </w:rPr>
        <w:t>知识产权保护志愿服务活动</w:t>
      </w:r>
      <w:r>
        <w:rPr>
          <w:rFonts w:hint="eastAsia" w:ascii="仿宋_GB2312" w:hAnsi="楷体_GB2312" w:eastAsia="仿宋_GB2312" w:cs="楷体_GB2312"/>
          <w:sz w:val="32"/>
          <w:szCs w:val="32"/>
          <w:highlight w:val="none"/>
        </w:rPr>
        <w:t>等知识产权相关工作，依据《产业知识产权联盟建设指南》有关内容提交。</w:t>
      </w:r>
    </w:p>
    <w:p>
      <w:pPr>
        <w:widowControl/>
        <w:snapToGrid w:val="0"/>
        <w:spacing w:line="560" w:lineRule="exact"/>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十二</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bookmarkStart w:id="0" w:name="_GoBack"/>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2022年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43CAF5-BBF4-4857-A144-DC057D5FB93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91B160C-5BD1-4471-B5BE-1C9C53256965}"/>
  </w:font>
  <w:font w:name="方正小标宋_GBK">
    <w:panose1 w:val="02000000000000000000"/>
    <w:charset w:val="86"/>
    <w:family w:val="script"/>
    <w:pitch w:val="default"/>
    <w:sig w:usb0="A00002BF" w:usb1="38CF7CFA" w:usb2="00082016" w:usb3="00000000" w:csb0="00040001" w:csb1="00000000"/>
    <w:embedRegular r:id="rId3" w:fontKey="{A6327908-6391-4BED-A497-E05C15E30BAD}"/>
  </w:font>
  <w:font w:name="仿宋_GB2312">
    <w:panose1 w:val="02010609030101010101"/>
    <w:charset w:val="86"/>
    <w:family w:val="modern"/>
    <w:pitch w:val="default"/>
    <w:sig w:usb0="00000001" w:usb1="080E0000" w:usb2="00000000" w:usb3="00000000" w:csb0="00040000" w:csb1="00000000"/>
    <w:embedRegular r:id="rId4" w:fontKey="{6DA66991-4D09-4591-ABCA-35E36E99F2C3}"/>
  </w:font>
  <w:font w:name="楷体_GB2312">
    <w:panose1 w:val="02010609030101010101"/>
    <w:charset w:val="86"/>
    <w:family w:val="modern"/>
    <w:pitch w:val="default"/>
    <w:sig w:usb0="00000001" w:usb1="080E0000" w:usb2="00000000" w:usb3="00000000" w:csb0="00040000" w:csb1="00000000"/>
    <w:embedRegular r:id="rId5" w:fontKey="{A6F2290E-D2A6-45A2-99E7-17F36164CBC2}"/>
  </w:font>
  <w:font w:name="FangSong_GB2312">
    <w:altName w:val="仿宋_GB2312"/>
    <w:panose1 w:val="00000000000000000000"/>
    <w:charset w:val="86"/>
    <w:family w:val="auto"/>
    <w:pitch w:val="default"/>
    <w:sig w:usb0="00000000" w:usb1="00000000" w:usb2="00000000" w:usb3="00000000" w:csb0="00040000" w:csb1="00000000"/>
    <w:embedRegular r:id="rId6" w:fontKey="{3D874C50-B62E-4E4D-82F3-C5CC3C9CAC50}"/>
  </w:font>
  <w:font w:name="FangSong_GB2312">
    <w:altName w:val="仿宋_GB2312"/>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01733D"/>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linsx1</cp:lastModifiedBy>
  <cp:lastPrinted>2022-10-10T17:54:00Z</cp:lastPrinted>
  <dcterms:modified xsi:type="dcterms:W3CDTF">2023-10-12T07:03:53Z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