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年知识产权运营中心</w:t>
      </w:r>
      <w:r>
        <w:rPr>
          <w:rFonts w:hint="eastAsia" w:ascii="方正小标宋_GBK" w:hAnsi="方正小标宋_GBK" w:eastAsia="方正小标宋_GBK"/>
          <w:sz w:val="44"/>
          <w:szCs w:val="44"/>
          <w:lang w:eastAsia="zh-CN"/>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bookmarkStart w:id="0" w:name="_GoBack"/>
      <w:bookmarkEnd w:id="0"/>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上一年获得国家、省、市批复或授牌的单位，知识产权运营中心已正式运营，有稳定的工作场所，配备管理团队，工作机制完备。</w:t>
      </w:r>
    </w:p>
    <w:p>
      <w:pPr>
        <w:kinsoku/>
        <w:overflowPunct w:val="0"/>
        <w:autoSpaceDE w:val="0"/>
        <w:autoSpaceDN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同一年度同一申请单位，不可同时申请本条与专利导航项目、产业知识产权联盟项目、知识产权保护工作站项目。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获批成立国家、省、市知识产权运营中心的有关文件。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知识产权运营中心的相关情况介绍。</w:t>
      </w:r>
    </w:p>
    <w:p>
      <w:pPr>
        <w:widowControl/>
        <w:snapToGrid w:val="0"/>
        <w:spacing w:line="560" w:lineRule="exact"/>
        <w:ind w:firstLine="640" w:firstLineChars="200"/>
        <w:rPr>
          <w:rFonts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eastAsia="仿宋_GB2312"/>
          <w:sz w:val="32"/>
          <w:szCs w:val="32"/>
          <w:highlight w:val="none"/>
        </w:rPr>
        <w:t>知识产权运营中心工作机制文件。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知识产权运营中心办公场地情况、租赁合同或房产证明。</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知识产权运营中心管理团队、专业人才信息，如：人员名册、聘用关系证明（如纳税证明、劳动合同、社保缴纳证明）、人员资质证书、职称证书等。</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十一</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知识产权运营中心年度工作报告，内容包括但不限于资源投入、</w:t>
      </w:r>
      <w:r>
        <w:rPr>
          <w:rFonts w:hint="eastAsia" w:ascii="仿宋_GB2312" w:hAnsi="楷体_GB2312" w:eastAsia="仿宋_GB2312" w:cs="楷体_GB2312"/>
          <w:sz w:val="32"/>
          <w:szCs w:val="32"/>
          <w:highlight w:val="none"/>
          <w:lang w:eastAsia="zh-CN"/>
        </w:rPr>
        <w:t>制度</w:t>
      </w:r>
      <w:r>
        <w:rPr>
          <w:rFonts w:hint="eastAsia" w:ascii="仿宋_GB2312" w:hAnsi="楷体_GB2312" w:eastAsia="仿宋_GB2312" w:cs="楷体_GB2312"/>
          <w:sz w:val="32"/>
          <w:szCs w:val="32"/>
          <w:highlight w:val="none"/>
        </w:rPr>
        <w:t>建设、工作成效（如</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服务对象的类型、服务内容、服务成效、开展宣传培训服务情况等）。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4447BE-22F6-4F6B-8739-78D2DFBCE59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6E2FE5A-2E4A-435F-BDBE-41BED65C9EB5}"/>
  </w:font>
  <w:font w:name="方正小标宋_GBK">
    <w:panose1 w:val="02000000000000000000"/>
    <w:charset w:val="86"/>
    <w:family w:val="script"/>
    <w:pitch w:val="default"/>
    <w:sig w:usb0="A00002BF" w:usb1="38CF7CFA" w:usb2="00082016" w:usb3="00000000" w:csb0="00040001" w:csb1="00000000"/>
    <w:embedRegular r:id="rId3" w:fontKey="{1921DF35-CAB3-476A-AF47-99181D3A9A49}"/>
  </w:font>
  <w:font w:name="仿宋_GB2312">
    <w:panose1 w:val="02010609030101010101"/>
    <w:charset w:val="86"/>
    <w:family w:val="modern"/>
    <w:pitch w:val="default"/>
    <w:sig w:usb0="00000001" w:usb1="080E0000" w:usb2="00000000" w:usb3="00000000" w:csb0="00040000" w:csb1="00000000"/>
    <w:embedRegular r:id="rId4" w:fontKey="{46FEDF49-08B5-4D21-8B3B-4AF00D655590}"/>
  </w:font>
  <w:font w:name="楷体_GB2312">
    <w:panose1 w:val="02010609030101010101"/>
    <w:charset w:val="86"/>
    <w:family w:val="modern"/>
    <w:pitch w:val="default"/>
    <w:sig w:usb0="00000001" w:usb1="080E0000" w:usb2="00000000" w:usb3="00000000" w:csb0="00040000" w:csb1="00000000"/>
    <w:embedRegular r:id="rId5" w:fontKey="{531C433D-1162-4669-8729-ACB5CFD78A2A}"/>
  </w:font>
  <w:font w:name="FangSong_GB2312">
    <w:altName w:val="仿宋_GB2312"/>
    <w:panose1 w:val="00000000000000000000"/>
    <w:charset w:val="86"/>
    <w:family w:val="auto"/>
    <w:pitch w:val="default"/>
    <w:sig w:usb0="00000000" w:usb1="00000000" w:usb2="00000000" w:usb3="00000000" w:csb0="00040000" w:csb1="00000000"/>
    <w:embedRegular r:id="rId6" w:fontKey="{F185C642-5B15-418A-8107-3D179DBDC38D}"/>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5F524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2023-10-12T06:49:34Z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