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left="0" w:leftChars="0" w:firstLine="0" w:firstLineChars="0"/>
        <w:rPr>
          <w:rFonts w:hint="eastAsia" w:ascii="仿宋_GB2312" w:hAnsi="仿宋_GB2312" w:cs="仿宋_GB2312"/>
          <w:b/>
          <w:bCs/>
          <w:lang w:val="en-US" w:eastAsia="zh-CN"/>
        </w:rPr>
      </w:pPr>
      <w:bookmarkStart w:id="0" w:name="_GoBack"/>
      <w:bookmarkEnd w:id="0"/>
      <w:r>
        <w:rPr>
          <w:rFonts w:hint="eastAsia" w:ascii="仿宋_GB2312" w:hAnsi="仿宋_GB2312" w:cs="仿宋_GB2312"/>
          <w:b/>
          <w:bCs/>
          <w:lang w:eastAsia="zh-CN"/>
        </w:rPr>
        <w:t>附件</w:t>
      </w:r>
      <w:r>
        <w:rPr>
          <w:rFonts w:hint="eastAsia" w:ascii="仿宋_GB2312" w:hAnsi="仿宋_GB2312" w:cs="仿宋_GB2312"/>
          <w:b/>
          <w:bCs/>
          <w:lang w:val="en-US" w:eastAsia="zh-CN"/>
        </w:rPr>
        <w:t>2</w:t>
      </w:r>
    </w:p>
    <w:p>
      <w:pPr>
        <w:pStyle w:val="3"/>
        <w:bidi w:val="0"/>
        <w:spacing w:line="560" w:lineRule="exact"/>
        <w:rPr>
          <w:rFonts w:hint="eastAsia"/>
        </w:rPr>
      </w:pPr>
    </w:p>
    <w:p>
      <w:pPr>
        <w:pStyle w:val="3"/>
        <w:widowControl/>
        <w:bidi w:val="0"/>
        <w:spacing w:line="580" w:lineRule="exact"/>
        <w:ind w:firstLine="0" w:firstLineChars="0"/>
        <w:jc w:val="center"/>
        <w:rPr>
          <w:rFonts w:hint="eastAsia" w:ascii="方正小标宋_GBK" w:hAnsi="方正小标宋_GBK" w:eastAsia="方正小标宋_GBK" w:cs="方正小标宋_GBK"/>
          <w:spacing w:val="-11"/>
          <w:kern w:val="2"/>
          <w:sz w:val="44"/>
          <w:szCs w:val="44"/>
          <w:lang w:val="en-US" w:eastAsia="zh-CN"/>
        </w:rPr>
      </w:pPr>
      <w:r>
        <w:rPr>
          <w:rFonts w:hint="eastAsia" w:ascii="方正小标宋_GBK" w:hAnsi="方正小标宋_GBK" w:eastAsia="方正小标宋_GBK" w:cs="方正小标宋_GBK"/>
          <w:spacing w:val="-11"/>
          <w:kern w:val="2"/>
          <w:sz w:val="44"/>
          <w:szCs w:val="44"/>
        </w:rPr>
        <w:t>《深圳市发展和改革委员会</w:t>
      </w:r>
      <w:r>
        <w:rPr>
          <w:rFonts w:hint="eastAsia" w:ascii="方正小标宋_GBK" w:hAnsi="方正小标宋_GBK" w:eastAsia="方正小标宋_GBK" w:cs="方正小标宋_GBK"/>
          <w:spacing w:val="-11"/>
          <w:kern w:val="2"/>
          <w:sz w:val="44"/>
          <w:szCs w:val="44"/>
          <w:lang w:val="en-US" w:eastAsia="zh-CN"/>
        </w:rPr>
        <w:t>专项资金</w:t>
      </w:r>
      <w:r>
        <w:rPr>
          <w:rFonts w:hint="eastAsia" w:ascii="方正小标宋_GBK" w:hAnsi="方正小标宋_GBK" w:eastAsia="方正小标宋_GBK" w:cs="方正小标宋_GBK"/>
          <w:spacing w:val="-11"/>
          <w:kern w:val="2"/>
          <w:sz w:val="44"/>
          <w:szCs w:val="44"/>
        </w:rPr>
        <w:t>专家库管理办</w:t>
      </w:r>
      <w:r>
        <w:rPr>
          <w:rFonts w:hint="eastAsia" w:ascii="方正小标宋_GBK" w:hAnsi="方正小标宋_GBK" w:eastAsia="方正小标宋_GBK" w:cs="方正小标宋_GBK"/>
          <w:spacing w:val="-11"/>
          <w:kern w:val="2"/>
          <w:sz w:val="44"/>
          <w:szCs w:val="44"/>
          <w:lang w:val="en-US" w:eastAsia="zh-CN"/>
        </w:rPr>
        <w:t>法（修订征求意见稿）》起草说明</w:t>
      </w:r>
    </w:p>
    <w:p>
      <w:pPr>
        <w:pStyle w:val="4"/>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line="560" w:lineRule="exact"/>
        <w:ind w:firstLine="0"/>
        <w:textAlignment w:val="auto"/>
        <w:rPr>
          <w:rFonts w:hint="eastAsia" w:ascii="仿宋_GB2312" w:hAnsi="仿宋_GB2312" w:eastAsia="仿宋_GB2312" w:cs="仿宋_GB2312"/>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Cs w:val="24"/>
        </w:rPr>
        <w:t>为</w:t>
      </w:r>
      <w:r>
        <w:rPr>
          <w:rFonts w:hint="eastAsia" w:ascii="仿宋_GB2312" w:hAnsi="仿宋_GB2312" w:cs="仿宋_GB2312"/>
          <w:szCs w:val="24"/>
          <w:lang w:eastAsia="zh-CN"/>
        </w:rPr>
        <w:t>进一步规范深圳市发展和改革委员会</w:t>
      </w:r>
      <w:r>
        <w:rPr>
          <w:rFonts w:hint="eastAsia" w:cs="仿宋_GB2312"/>
          <w:sz w:val="32"/>
          <w:szCs w:val="32"/>
          <w:highlight w:val="none"/>
          <w:lang w:val="en-US" w:eastAsia="zh-CN"/>
        </w:rPr>
        <w:t>专项资金领域</w:t>
      </w:r>
      <w:r>
        <w:rPr>
          <w:rFonts w:hint="eastAsia"/>
          <w:sz w:val="32"/>
          <w:szCs w:val="32"/>
          <w:highlight w:val="none"/>
          <w:lang w:val="en-US" w:eastAsia="zh-CN"/>
        </w:rPr>
        <w:t>专家库的建设和管理</w:t>
      </w:r>
      <w:r>
        <w:rPr>
          <w:rFonts w:hint="eastAsia" w:ascii="仿宋_GB2312" w:hAnsi="仿宋_GB2312" w:cs="仿宋_GB2312"/>
          <w:szCs w:val="24"/>
          <w:lang w:eastAsia="zh-CN"/>
        </w:rPr>
        <w:t>，充分发挥相关领域专家的支撑作用，根据《深圳市发展和改革委员会专项资金管理办法》（深发改规〔</w:t>
      </w:r>
      <w:r>
        <w:rPr>
          <w:rFonts w:hint="eastAsia" w:ascii="仿宋_GB2312" w:hAnsi="仿宋_GB2312" w:cs="仿宋_GB2312"/>
          <w:szCs w:val="24"/>
          <w:lang w:val="en-US" w:eastAsia="zh-CN"/>
        </w:rPr>
        <w:t>2019</w:t>
      </w:r>
      <w:r>
        <w:rPr>
          <w:rFonts w:hint="eastAsia" w:ascii="仿宋_GB2312" w:hAnsi="仿宋_GB2312" w:cs="仿宋_GB2312"/>
          <w:szCs w:val="24"/>
          <w:lang w:eastAsia="zh-CN"/>
        </w:rPr>
        <w:t>〕</w:t>
      </w:r>
      <w:r>
        <w:rPr>
          <w:rFonts w:hint="eastAsia" w:ascii="仿宋_GB2312" w:hAnsi="仿宋_GB2312" w:cs="仿宋_GB2312"/>
          <w:szCs w:val="24"/>
          <w:lang w:val="en-US" w:eastAsia="zh-CN"/>
        </w:rPr>
        <w:t>2号</w:t>
      </w:r>
      <w:r>
        <w:rPr>
          <w:rFonts w:hint="eastAsia" w:ascii="仿宋_GB2312" w:hAnsi="仿宋_GB2312" w:cs="仿宋_GB2312"/>
          <w:szCs w:val="24"/>
          <w:lang w:eastAsia="zh-CN"/>
        </w:rPr>
        <w:t>）等有关规定，我委研究起草了</w:t>
      </w:r>
      <w:r>
        <w:rPr>
          <w:rFonts w:hint="eastAsia" w:ascii="仿宋_GB2312" w:hAnsi="仿宋_GB2312" w:cs="仿宋_GB2312"/>
        </w:rPr>
        <w:t>《深圳市发展和改革委员会专项资金专家库管理办法（修订征求意见稿）》</w:t>
      </w:r>
      <w:r>
        <w:rPr>
          <w:rFonts w:hint="eastAsia" w:ascii="仿宋_GB2312" w:hAnsi="仿宋_GB2312" w:cs="仿宋_GB2312"/>
          <w:lang w:eastAsia="zh-CN"/>
        </w:rPr>
        <w:t>（以下简称《管理办法</w:t>
      </w:r>
      <w:r>
        <w:rPr>
          <w:rFonts w:hint="default" w:ascii="仿宋_GB2312" w:hAnsi="仿宋_GB2312" w:cs="仿宋_GB2312"/>
          <w:lang w:val="en-US" w:eastAsia="zh-CN"/>
        </w:rPr>
        <w:t>(</w:t>
      </w:r>
      <w:r>
        <w:rPr>
          <w:rFonts w:hint="eastAsia" w:ascii="仿宋_GB2312" w:hAnsi="仿宋_GB2312" w:cs="仿宋_GB2312"/>
          <w:lang w:val="en-US" w:eastAsia="zh-CN"/>
        </w:rPr>
        <w:t>修订征求意见稿）</w:t>
      </w:r>
      <w:r>
        <w:rPr>
          <w:rFonts w:hint="eastAsia" w:ascii="仿宋_GB2312" w:hAnsi="仿宋_GB2312" w:cs="仿宋_GB2312"/>
          <w:lang w:eastAsia="zh-CN"/>
        </w:rPr>
        <w:t>》）</w:t>
      </w:r>
      <w:r>
        <w:rPr>
          <w:rFonts w:hint="eastAsia"/>
          <w:lang w:val="en-US" w:eastAsia="zh-CN"/>
        </w:rPr>
        <w:t>。有关起草情况说明如下：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lang w:val="en-US" w:eastAsia="zh-CN"/>
        </w:rPr>
      </w:pPr>
      <w:r>
        <w:rPr>
          <w:rFonts w:hint="eastAsia" w:ascii="黑体" w:hAnsi="黑体" w:eastAsia="黑体" w:cs="黑体"/>
          <w:lang w:val="en-US" w:eastAsia="zh-CN"/>
        </w:rPr>
        <w:t>一、修订必要性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b w:val="0"/>
          <w:kern w:val="2"/>
          <w:sz w:val="32"/>
          <w:szCs w:val="32"/>
          <w:lang w:eastAsia="zh-CN"/>
        </w:rPr>
      </w:pPr>
      <w:r>
        <w:rPr>
          <w:rFonts w:hint="eastAsia" w:ascii="仿宋_GB2312" w:hAnsi="仿宋_GB2312" w:cs="仿宋_GB2312"/>
          <w:b w:val="0"/>
          <w:bCs w:val="0"/>
          <w:lang w:val="en-US" w:eastAsia="zh-CN"/>
        </w:rPr>
        <w:t>《深圳市发展和改革委员会战略性新兴产业专家库管理暂行办法》（深发改</w:t>
      </w:r>
      <w:r>
        <w:rPr>
          <w:rFonts w:hint="eastAsia" w:ascii="仿宋_GB2312" w:hAnsi="仿宋_GB2312" w:cs="仿宋_GB2312"/>
          <w:szCs w:val="24"/>
          <w:lang w:eastAsia="zh-CN"/>
        </w:rPr>
        <w:t>〔</w:t>
      </w:r>
      <w:r>
        <w:rPr>
          <w:rFonts w:hint="eastAsia" w:ascii="仿宋_GB2312" w:hAnsi="仿宋_GB2312" w:cs="仿宋_GB2312"/>
          <w:szCs w:val="24"/>
          <w:lang w:val="en-US" w:eastAsia="zh-CN"/>
        </w:rPr>
        <w:t>2019</w:t>
      </w:r>
      <w:r>
        <w:rPr>
          <w:rFonts w:hint="eastAsia" w:ascii="仿宋_GB2312" w:hAnsi="仿宋_GB2312" w:cs="仿宋_GB2312"/>
          <w:szCs w:val="24"/>
          <w:lang w:eastAsia="zh-CN"/>
        </w:rPr>
        <w:t>〕</w:t>
      </w:r>
      <w:r>
        <w:rPr>
          <w:rFonts w:hint="eastAsia" w:ascii="仿宋_GB2312" w:hAnsi="仿宋_GB2312" w:cs="仿宋_GB2312"/>
          <w:szCs w:val="24"/>
          <w:lang w:val="en-US" w:eastAsia="zh-CN"/>
        </w:rPr>
        <w:t>1174号,以下简称《暂行办法》）自2019年印发至今，在</w:t>
      </w:r>
      <w:r>
        <w:rPr>
          <w:rFonts w:hint="eastAsia" w:ascii="仿宋_GB2312" w:hAnsi="仿宋_GB2312" w:cs="仿宋_GB2312"/>
          <w:b w:val="0"/>
          <w:bCs w:val="0"/>
          <w:lang w:val="en-US" w:eastAsia="zh-CN"/>
        </w:rPr>
        <w:t>规范市发展改革委战略性新兴产业专家管理，保障项目咨询工作的科学性、合理性、公正性和严肃性</w:t>
      </w:r>
      <w:r>
        <w:rPr>
          <w:rFonts w:hint="eastAsia" w:ascii="仿宋_GB2312" w:hAnsi="仿宋_GB2312" w:eastAsia="仿宋_GB2312" w:cs="仿宋_GB2312"/>
          <w:b w:val="0"/>
          <w:kern w:val="2"/>
          <w:sz w:val="32"/>
          <w:szCs w:val="32"/>
        </w:rPr>
        <w:t>等方面发挥了积极作用</w:t>
      </w:r>
      <w:r>
        <w:rPr>
          <w:rFonts w:hint="eastAsia" w:ascii="仿宋_GB2312" w:hAnsi="仿宋_GB2312" w:cs="仿宋_GB2312"/>
          <w:b w:val="0"/>
          <w:kern w:val="2"/>
          <w:sz w:val="32"/>
          <w:szCs w:val="32"/>
          <w:lang w:eastAsia="zh-CN"/>
        </w:rPr>
        <w:t>。</w:t>
      </w:r>
      <w:r>
        <w:rPr>
          <w:rFonts w:hint="eastAsia" w:ascii="仿宋_GB2312" w:hAnsi="仿宋_GB2312" w:cs="仿宋_GB2312"/>
          <w:b w:val="0"/>
          <w:kern w:val="2"/>
          <w:sz w:val="32"/>
          <w:szCs w:val="32"/>
          <w:lang w:val="en-US" w:eastAsia="zh-CN"/>
        </w:rPr>
        <w:t>但是，</w:t>
      </w:r>
      <w:r>
        <w:rPr>
          <w:rFonts w:hint="eastAsia" w:ascii="仿宋_GB2312" w:hAnsi="仿宋_GB2312" w:cs="仿宋_GB2312"/>
          <w:b w:val="0"/>
          <w:kern w:val="2"/>
          <w:sz w:val="32"/>
          <w:szCs w:val="32"/>
          <w:lang w:eastAsia="zh-CN"/>
        </w:rPr>
        <w:t>随着</w:t>
      </w:r>
      <w:r>
        <w:rPr>
          <w:rFonts w:hint="eastAsia" w:ascii="仿宋_GB2312" w:hAnsi="仿宋_GB2312" w:cs="仿宋_GB2312"/>
          <w:b w:val="0"/>
          <w:kern w:val="2"/>
          <w:sz w:val="32"/>
          <w:szCs w:val="32"/>
          <w:lang w:val="en-US" w:eastAsia="zh-CN"/>
        </w:rPr>
        <w:t>我委</w:t>
      </w:r>
      <w:r>
        <w:rPr>
          <w:rFonts w:hint="eastAsia" w:ascii="仿宋_GB2312" w:hAnsi="仿宋_GB2312" w:cs="仿宋_GB2312"/>
          <w:b w:val="0"/>
          <w:kern w:val="2"/>
          <w:sz w:val="32"/>
          <w:szCs w:val="32"/>
          <w:lang w:eastAsia="zh-CN"/>
        </w:rPr>
        <w:t>专项资金</w:t>
      </w:r>
      <w:r>
        <w:rPr>
          <w:rFonts w:hint="eastAsia" w:ascii="仿宋_GB2312" w:hAnsi="仿宋_GB2312" w:cs="仿宋_GB2312"/>
          <w:b w:val="0"/>
          <w:kern w:val="2"/>
          <w:sz w:val="32"/>
          <w:szCs w:val="32"/>
          <w:lang w:val="en-US" w:eastAsia="zh-CN"/>
        </w:rPr>
        <w:t>管理</w:t>
      </w:r>
      <w:r>
        <w:rPr>
          <w:rFonts w:hint="eastAsia" w:ascii="仿宋_GB2312" w:hAnsi="仿宋_GB2312" w:cs="仿宋_GB2312"/>
          <w:b w:val="0"/>
          <w:kern w:val="2"/>
          <w:sz w:val="32"/>
          <w:szCs w:val="32"/>
          <w:lang w:eastAsia="zh-CN"/>
        </w:rPr>
        <w:t>制度</w:t>
      </w:r>
      <w:r>
        <w:rPr>
          <w:rFonts w:hint="eastAsia" w:ascii="仿宋_GB2312" w:hAnsi="仿宋_GB2312" w:cs="仿宋_GB2312"/>
          <w:b w:val="0"/>
          <w:kern w:val="2"/>
          <w:sz w:val="32"/>
          <w:szCs w:val="32"/>
          <w:lang w:val="en-US" w:eastAsia="zh-CN"/>
        </w:rPr>
        <w:t>的不断细化和完善</w:t>
      </w:r>
      <w:r>
        <w:rPr>
          <w:rFonts w:hint="eastAsia" w:ascii="仿宋_GB2312" w:hAnsi="仿宋_GB2312" w:cs="仿宋_GB2312"/>
          <w:b w:val="0"/>
          <w:kern w:val="2"/>
          <w:sz w:val="32"/>
          <w:szCs w:val="32"/>
          <w:lang w:eastAsia="zh-CN"/>
        </w:rPr>
        <w:t>及专家管理工作的实际需要，《</w:t>
      </w:r>
      <w:r>
        <w:rPr>
          <w:rFonts w:hint="eastAsia" w:ascii="仿宋_GB2312" w:hAnsi="仿宋_GB2312" w:cs="仿宋_GB2312"/>
          <w:b w:val="0"/>
          <w:kern w:val="2"/>
          <w:sz w:val="32"/>
          <w:szCs w:val="32"/>
          <w:lang w:val="en-US" w:eastAsia="zh-CN"/>
        </w:rPr>
        <w:t>暂行</w:t>
      </w:r>
      <w:r>
        <w:rPr>
          <w:rFonts w:hint="eastAsia" w:ascii="仿宋_GB2312" w:hAnsi="仿宋_GB2312" w:cs="仿宋_GB2312"/>
          <w:b w:val="0"/>
          <w:kern w:val="2"/>
          <w:sz w:val="32"/>
          <w:szCs w:val="32"/>
          <w:lang w:eastAsia="zh-CN"/>
        </w:rPr>
        <w:t>办法》在对</w:t>
      </w:r>
      <w:r>
        <w:rPr>
          <w:rFonts w:hint="eastAsia" w:ascii="仿宋_GB2312" w:hAnsi="仿宋_GB2312" w:cs="仿宋_GB2312"/>
          <w:b w:val="0"/>
          <w:kern w:val="2"/>
          <w:sz w:val="32"/>
          <w:szCs w:val="32"/>
          <w:lang w:val="en-US" w:eastAsia="zh-CN"/>
        </w:rPr>
        <w:t>专家管理的职责划分、</w:t>
      </w:r>
      <w:r>
        <w:rPr>
          <w:rFonts w:hint="eastAsia" w:ascii="仿宋_GB2312" w:hAnsi="仿宋_GB2312" w:cs="仿宋_GB2312"/>
          <w:b w:val="0"/>
          <w:bCs w:val="0"/>
          <w:lang w:val="en-US" w:eastAsia="zh-CN"/>
        </w:rPr>
        <w:t>监督管理，以及</w:t>
      </w:r>
      <w:r>
        <w:rPr>
          <w:rFonts w:hint="eastAsia" w:ascii="仿宋_GB2312" w:hAnsi="仿宋_GB2312" w:cs="仿宋_GB2312"/>
          <w:b w:val="0"/>
          <w:kern w:val="2"/>
          <w:sz w:val="32"/>
          <w:szCs w:val="32"/>
          <w:lang w:eastAsia="zh-CN"/>
        </w:rPr>
        <w:t>专家</w:t>
      </w:r>
      <w:r>
        <w:rPr>
          <w:rFonts w:hint="eastAsia" w:ascii="仿宋_GB2312" w:hAnsi="仿宋_GB2312" w:cs="仿宋_GB2312"/>
          <w:b w:val="0"/>
          <w:kern w:val="2"/>
          <w:sz w:val="32"/>
          <w:szCs w:val="32"/>
          <w:lang w:val="en-US" w:eastAsia="zh-CN"/>
        </w:rPr>
        <w:t>的</w:t>
      </w:r>
      <w:r>
        <w:rPr>
          <w:rFonts w:hint="eastAsia" w:ascii="仿宋_GB2312" w:hAnsi="仿宋_GB2312" w:cs="仿宋_GB2312"/>
          <w:b w:val="0"/>
          <w:kern w:val="2"/>
          <w:sz w:val="32"/>
          <w:szCs w:val="32"/>
          <w:lang w:eastAsia="zh-CN"/>
        </w:rPr>
        <w:t>权利义务、劳务报酬支付、不良行为等方面仍需进一步强化、细化，不断提升专家动态管理水平。为此，本着依法修订、突出重点、问题导向、强化管理的原则，</w:t>
      </w:r>
      <w:r>
        <w:rPr>
          <w:rFonts w:hint="eastAsia" w:ascii="仿宋_GB2312" w:hAnsi="仿宋_GB2312" w:cs="仿宋_GB2312"/>
          <w:b w:val="0"/>
          <w:kern w:val="2"/>
          <w:sz w:val="32"/>
          <w:szCs w:val="32"/>
          <w:lang w:val="en-US" w:eastAsia="zh-CN"/>
        </w:rPr>
        <w:t>我委</w:t>
      </w:r>
      <w:r>
        <w:rPr>
          <w:rFonts w:hint="eastAsia" w:ascii="仿宋_GB2312" w:hAnsi="仿宋_GB2312" w:cs="仿宋_GB2312"/>
          <w:b w:val="0"/>
          <w:kern w:val="2"/>
          <w:sz w:val="32"/>
          <w:szCs w:val="32"/>
          <w:lang w:eastAsia="zh-CN"/>
        </w:rPr>
        <w:t>梳理了近年来在</w:t>
      </w:r>
      <w:r>
        <w:rPr>
          <w:rFonts w:hint="eastAsia" w:ascii="仿宋_GB2312" w:hAnsi="仿宋_GB2312" w:cs="仿宋_GB2312"/>
          <w:b w:val="0"/>
          <w:bCs w:val="0"/>
          <w:lang w:val="en-US" w:eastAsia="zh-CN"/>
        </w:rPr>
        <w:t>战略性新兴产业</w:t>
      </w:r>
      <w:r>
        <w:rPr>
          <w:rFonts w:hint="eastAsia" w:ascii="仿宋_GB2312" w:hAnsi="仿宋_GB2312" w:cs="仿宋_GB2312"/>
          <w:b w:val="0"/>
          <w:kern w:val="2"/>
          <w:sz w:val="32"/>
          <w:szCs w:val="32"/>
          <w:lang w:eastAsia="zh-CN"/>
        </w:rPr>
        <w:t>专家管理</w:t>
      </w:r>
      <w:r>
        <w:rPr>
          <w:rFonts w:hint="eastAsia" w:ascii="仿宋_GB2312" w:hAnsi="仿宋_GB2312" w:cs="仿宋_GB2312"/>
          <w:b w:val="0"/>
          <w:kern w:val="2"/>
          <w:sz w:val="32"/>
          <w:szCs w:val="32"/>
          <w:lang w:val="en-US" w:eastAsia="zh-CN"/>
        </w:rPr>
        <w:t>和使用</w:t>
      </w:r>
      <w:r>
        <w:rPr>
          <w:rFonts w:hint="eastAsia" w:ascii="仿宋_GB2312" w:hAnsi="仿宋_GB2312" w:cs="仿宋_GB2312"/>
          <w:b w:val="0"/>
          <w:kern w:val="2"/>
          <w:sz w:val="32"/>
          <w:szCs w:val="32"/>
          <w:lang w:eastAsia="zh-CN"/>
        </w:rPr>
        <w:t>过程中发现的新情况、新问题，学习借鉴</w:t>
      </w:r>
      <w:r>
        <w:rPr>
          <w:rFonts w:hint="eastAsia" w:ascii="仿宋_GB2312" w:hAnsi="仿宋_GB2312" w:cs="仿宋_GB2312"/>
          <w:b w:val="0"/>
          <w:kern w:val="2"/>
          <w:sz w:val="32"/>
          <w:szCs w:val="32"/>
          <w:lang w:val="en-US" w:eastAsia="zh-CN"/>
        </w:rPr>
        <w:t>我市其他部门及</w:t>
      </w:r>
      <w:r>
        <w:rPr>
          <w:rFonts w:hint="eastAsia" w:ascii="仿宋_GB2312" w:hAnsi="仿宋_GB2312" w:cs="仿宋_GB2312"/>
          <w:b w:val="0"/>
          <w:kern w:val="2"/>
          <w:sz w:val="32"/>
          <w:szCs w:val="32"/>
          <w:lang w:eastAsia="zh-CN"/>
        </w:rPr>
        <w:t>其他省市的先进经验，起草了</w:t>
      </w:r>
      <w:r>
        <w:rPr>
          <w:rFonts w:hint="eastAsia" w:ascii="仿宋_GB2312" w:hAnsi="仿宋_GB2312" w:cs="仿宋_GB2312"/>
          <w:lang w:eastAsia="zh-CN"/>
        </w:rPr>
        <w:t>《管理办法</w:t>
      </w:r>
      <w:r>
        <w:rPr>
          <w:rFonts w:hint="default" w:ascii="仿宋_GB2312" w:hAnsi="仿宋_GB2312" w:cs="仿宋_GB2312"/>
          <w:lang w:val="en-US" w:eastAsia="zh-CN"/>
        </w:rPr>
        <w:t>(</w:t>
      </w:r>
      <w:r>
        <w:rPr>
          <w:rFonts w:hint="eastAsia" w:ascii="仿宋_GB2312" w:hAnsi="仿宋_GB2312" w:cs="仿宋_GB2312"/>
          <w:lang w:val="en-US" w:eastAsia="zh-CN"/>
        </w:rPr>
        <w:t>修订征求意见稿）</w:t>
      </w:r>
      <w:r>
        <w:rPr>
          <w:rFonts w:hint="eastAsia" w:ascii="仿宋_GB2312" w:hAnsi="仿宋_GB2312" w:cs="仿宋_GB2312"/>
          <w:lang w:eastAsia="zh-CN"/>
        </w:rPr>
        <w:t>》</w:t>
      </w:r>
      <w:r>
        <w:rPr>
          <w:rFonts w:hint="eastAsia" w:ascii="仿宋_GB2312" w:hAnsi="仿宋_GB2312" w:cs="仿宋_GB2312"/>
          <w:b w:val="0"/>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lang w:val="en-US" w:eastAsia="zh-CN"/>
        </w:rPr>
      </w:pPr>
      <w:r>
        <w:rPr>
          <w:rFonts w:hint="eastAsia" w:ascii="黑体" w:hAnsi="黑体" w:eastAsia="黑体" w:cs="黑体"/>
          <w:lang w:val="en-US" w:eastAsia="zh-CN"/>
        </w:rPr>
        <w:t>二、主要修订内容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cs="仿宋_GB2312"/>
          <w:b/>
          <w:bCs/>
          <w:lang w:val="en-US" w:eastAsia="zh-CN"/>
        </w:rPr>
      </w:pPr>
      <w:r>
        <w:rPr>
          <w:rFonts w:hint="eastAsia" w:ascii="仿宋_GB2312" w:hAnsi="仿宋_GB2312" w:cs="仿宋_GB2312"/>
          <w:b/>
          <w:bCs/>
          <w:lang w:val="en-US" w:eastAsia="zh-CN"/>
        </w:rPr>
        <w:t>（一）调整专家管理及选用覆盖范围</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b/>
          <w:bCs/>
          <w:lang w:val="en-US" w:eastAsia="zh-CN"/>
        </w:rPr>
      </w:pPr>
      <w:r>
        <w:rPr>
          <w:rFonts w:hint="eastAsia" w:ascii="仿宋_GB2312" w:hAnsi="仿宋_GB2312" w:cs="仿宋_GB2312"/>
          <w:lang w:val="en-US" w:eastAsia="zh-CN"/>
        </w:rPr>
        <w:t>为保障市发展改革委专项资金</w:t>
      </w:r>
      <w:r>
        <w:rPr>
          <w:rFonts w:hint="eastAsia" w:cs="仿宋_GB2312"/>
          <w:sz w:val="32"/>
          <w:szCs w:val="32"/>
          <w:highlight w:val="none"/>
          <w:lang w:val="en-US" w:eastAsia="zh-CN"/>
        </w:rPr>
        <w:t>相关工作顺利开展，强化</w:t>
      </w:r>
      <w:r>
        <w:rPr>
          <w:rFonts w:hint="eastAsia" w:ascii="仿宋_GB2312" w:hAnsi="仿宋_GB2312" w:cs="仿宋_GB2312"/>
          <w:lang w:val="en-US" w:eastAsia="zh-CN"/>
        </w:rPr>
        <w:t>智力支持和人才保障，将专家管理和选用范围拓展为战略性新兴产业发展与重大科研平台自主攻关领域等专项资金相关</w:t>
      </w:r>
      <w:r>
        <w:rPr>
          <w:rFonts w:hint="eastAsia" w:cs="仿宋_GB2312"/>
          <w:sz w:val="32"/>
          <w:szCs w:val="32"/>
          <w:highlight w:val="none"/>
          <w:lang w:val="en-US" w:eastAsia="zh-CN"/>
        </w:rPr>
        <w:t>领域</w:t>
      </w:r>
      <w:r>
        <w:rPr>
          <w:rFonts w:hint="eastAsia"/>
          <w:sz w:val="32"/>
          <w:szCs w:val="32"/>
          <w:highlight w:val="none"/>
          <w:lang w:val="en-US" w:eastAsia="zh-CN"/>
        </w:rPr>
        <w:t>。同时，</w:t>
      </w:r>
      <w:r>
        <w:rPr>
          <w:rFonts w:hint="eastAsia" w:ascii="仿宋_GB2312" w:hAnsi="仿宋_GB2312" w:cs="仿宋_GB2312"/>
          <w:lang w:val="en-US" w:eastAsia="zh-CN"/>
        </w:rPr>
        <w:t>增加共建共享方式，及时吸纳国家及省级高精尖专家入库，强化与相关部门的专家信息联动。</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cs="仿宋_GB2312"/>
          <w:b/>
          <w:bCs/>
          <w:lang w:val="en-US" w:eastAsia="zh-CN"/>
        </w:rPr>
      </w:pPr>
      <w:r>
        <w:rPr>
          <w:rFonts w:hint="eastAsia" w:ascii="仿宋_GB2312" w:hAnsi="仿宋_GB2312" w:cs="仿宋_GB2312"/>
          <w:b/>
          <w:bCs/>
          <w:lang w:val="en-US" w:eastAsia="zh-CN"/>
        </w:rPr>
        <w:t>（二）明确专家库管理机制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lang w:val="en-US" w:eastAsia="zh-CN"/>
        </w:rPr>
      </w:pPr>
      <w:r>
        <w:rPr>
          <w:rFonts w:hint="eastAsia" w:ascii="仿宋_GB2312" w:hAnsi="仿宋_GB2312" w:cs="仿宋_GB2312"/>
          <w:lang w:val="en-US" w:eastAsia="zh-CN"/>
        </w:rPr>
        <w:t>厘清市发展改革委和创新中心在专家库管理中的职责分工，明确市发展改革委为专家库行政主管部门，</w:t>
      </w:r>
      <w:r>
        <w:rPr>
          <w:rFonts w:hint="eastAsia" w:cs="仿宋_GB2312"/>
          <w:b w:val="0"/>
          <w:bCs w:val="0"/>
          <w:sz w:val="32"/>
          <w:szCs w:val="32"/>
          <w:lang w:val="en-US" w:eastAsia="zh-CN"/>
        </w:rPr>
        <w:t>统筹</w:t>
      </w:r>
      <w:r>
        <w:rPr>
          <w:rFonts w:hint="eastAsia" w:ascii="仿宋_GB2312" w:hAnsi="仿宋_GB2312" w:eastAsia="仿宋_GB2312" w:cs="仿宋_GB2312"/>
          <w:b w:val="0"/>
          <w:bCs w:val="0"/>
          <w:sz w:val="32"/>
          <w:szCs w:val="32"/>
          <w:lang w:val="en-US" w:eastAsia="zh-CN"/>
        </w:rPr>
        <w:t>指导专家库的建设</w:t>
      </w:r>
      <w:r>
        <w:rPr>
          <w:rFonts w:hint="eastAsia" w:cs="仿宋_GB2312"/>
          <w:b w:val="0"/>
          <w:bCs w:val="0"/>
          <w:sz w:val="32"/>
          <w:szCs w:val="32"/>
          <w:lang w:val="en-US" w:eastAsia="zh-CN"/>
        </w:rPr>
        <w:t>和</w:t>
      </w:r>
      <w:r>
        <w:rPr>
          <w:rFonts w:hint="eastAsia" w:ascii="仿宋_GB2312" w:hAnsi="仿宋_GB2312" w:eastAsia="仿宋_GB2312" w:cs="仿宋_GB2312"/>
          <w:b w:val="0"/>
          <w:bCs w:val="0"/>
          <w:sz w:val="32"/>
          <w:szCs w:val="32"/>
          <w:lang w:val="en-US" w:eastAsia="zh-CN"/>
        </w:rPr>
        <w:t>管理</w:t>
      </w:r>
      <w:r>
        <w:rPr>
          <w:rFonts w:hint="eastAsia" w:ascii="仿宋_GB2312" w:hAnsi="仿宋_GB2312" w:cs="仿宋_GB2312"/>
          <w:b w:val="0"/>
          <w:bCs w:val="0"/>
          <w:sz w:val="32"/>
          <w:szCs w:val="32"/>
          <w:lang w:val="en-US" w:eastAsia="zh-CN"/>
        </w:rPr>
        <w:t>，</w:t>
      </w:r>
      <w:r>
        <w:rPr>
          <w:rFonts w:hint="eastAsia" w:ascii="仿宋_GB2312" w:hAnsi="仿宋_GB2312" w:cs="仿宋_GB2312"/>
          <w:lang w:val="en-US" w:eastAsia="zh-CN"/>
        </w:rPr>
        <w:t>创新中心受市发展改革委委托，</w:t>
      </w:r>
      <w:r>
        <w:rPr>
          <w:rFonts w:hint="eastAsia" w:ascii="仿宋_GB2312" w:hAnsi="仿宋_GB2312" w:eastAsia="仿宋_GB2312" w:cs="仿宋_GB2312"/>
          <w:b w:val="0"/>
          <w:bCs w:val="0"/>
          <w:sz w:val="32"/>
          <w:szCs w:val="32"/>
          <w:highlight w:val="none"/>
          <w:lang w:val="en-US" w:eastAsia="zh-CN"/>
        </w:rPr>
        <w:t>负责专家库</w:t>
      </w:r>
      <w:r>
        <w:rPr>
          <w:rFonts w:hint="eastAsia" w:cs="仿宋_GB2312"/>
          <w:b w:val="0"/>
          <w:bCs w:val="0"/>
          <w:sz w:val="32"/>
          <w:szCs w:val="32"/>
          <w:highlight w:val="none"/>
          <w:lang w:val="en-US" w:eastAsia="zh-CN"/>
        </w:rPr>
        <w:t>的日常事务性工作，形成工作合力</w:t>
      </w:r>
      <w:r>
        <w:rPr>
          <w:rFonts w:hint="eastAsia" w:cs="仿宋_GB2312"/>
          <w:b w:val="0"/>
          <w:bCs w:val="0"/>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lang w:val="en-US" w:eastAsia="zh-CN"/>
        </w:rPr>
      </w:pPr>
      <w:r>
        <w:rPr>
          <w:rFonts w:hint="eastAsia" w:ascii="仿宋_GB2312" w:hAnsi="仿宋_GB2312" w:cs="仿宋_GB2312"/>
          <w:b/>
          <w:bCs/>
          <w:lang w:val="en-US" w:eastAsia="zh-CN"/>
        </w:rPr>
        <w:t>（三）专家管理精细化</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cs="仿宋_GB2312"/>
          <w:lang w:val="en-US" w:eastAsia="zh-CN"/>
        </w:rPr>
      </w:pPr>
      <w:r>
        <w:rPr>
          <w:rFonts w:hint="eastAsia" w:ascii="仿宋_GB2312" w:hAnsi="仿宋_GB2312" w:cs="仿宋_GB2312"/>
          <w:lang w:val="en-US" w:eastAsia="zh-CN"/>
        </w:rPr>
        <w:t>进一步完善专家出入库条件，明确对存在“与中介拉拢串通”等行为的专家及时清理出库；缩短开展专家信息动态更新时限，放宽专家轮换次数要求；统筹考虑采用项目经理人制项目的前沿性与特殊性，对评审专家参与此类项目验收不做刚性要求；增加专家参与项目咨询工作的具体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bCs/>
          <w:lang w:val="en-US" w:eastAsia="zh-CN"/>
        </w:rPr>
      </w:pPr>
      <w:r>
        <w:rPr>
          <w:rFonts w:hint="eastAsia" w:ascii="仿宋_GB2312" w:hAnsi="仿宋_GB2312" w:cs="仿宋_GB2312"/>
          <w:b/>
          <w:bCs/>
          <w:lang w:val="en-US" w:eastAsia="zh-CN"/>
        </w:rPr>
        <w:t>强化专家监督管理</w:t>
      </w:r>
    </w:p>
    <w:p>
      <w:pPr>
        <w:pStyle w:val="6"/>
        <w:ind w:firstLine="640" w:firstLineChars="200"/>
        <w:rPr>
          <w:rFonts w:hint="eastAsia" w:ascii="仿宋_GB2312" w:hAnsi="仿宋_GB2312" w:cs="仿宋_GB2312"/>
          <w:b w:val="0"/>
          <w:bCs w:val="0"/>
          <w:sz w:val="32"/>
          <w:szCs w:val="24"/>
          <w:highlight w:val="none"/>
          <w:lang w:val="en-US" w:eastAsia="zh-CN"/>
        </w:rPr>
      </w:pPr>
      <w:r>
        <w:rPr>
          <w:rFonts w:hint="eastAsia" w:ascii="仿宋_GB2312" w:hAnsi="仿宋_GB2312" w:cs="仿宋_GB2312"/>
          <w:b w:val="0"/>
          <w:bCs w:val="0"/>
          <w:sz w:val="32"/>
          <w:szCs w:val="24"/>
          <w:highlight w:val="none"/>
          <w:lang w:val="en-US" w:eastAsia="zh-CN"/>
        </w:rPr>
        <w:t>明确专家履职要求，开展履职情况评价，评价结果作为后续专家选取的重要参考，强化专家回避、负面行为处理等日常监督管理，建立专家劳务报酬指导标准，调动专家参与的积极性。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lang w:val="en-US" w:eastAsia="zh-CN"/>
        </w:rPr>
      </w:pPr>
      <w:r>
        <w:rPr>
          <w:rFonts w:hint="eastAsia" w:ascii="黑体" w:hAnsi="黑体" w:eastAsia="黑体" w:cs="黑体"/>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lang w:eastAsia="zh-CN"/>
        </w:rPr>
        <w:t>《管理办法</w:t>
      </w:r>
      <w:r>
        <w:rPr>
          <w:rFonts w:hint="default" w:ascii="仿宋_GB2312" w:hAnsi="仿宋_GB2312" w:cs="仿宋_GB2312"/>
          <w:lang w:val="en-US" w:eastAsia="zh-CN"/>
        </w:rPr>
        <w:t>(</w:t>
      </w:r>
      <w:r>
        <w:rPr>
          <w:rFonts w:hint="eastAsia" w:ascii="仿宋_GB2312" w:hAnsi="仿宋_GB2312" w:cs="仿宋_GB2312"/>
          <w:lang w:val="en-US" w:eastAsia="zh-CN"/>
        </w:rPr>
        <w:t>修订征求意见稿）</w:t>
      </w:r>
      <w:r>
        <w:rPr>
          <w:rFonts w:hint="eastAsia" w:ascii="仿宋_GB2312" w:hAnsi="仿宋_GB2312" w:cs="仿宋_GB2312"/>
          <w:lang w:eastAsia="zh-CN"/>
        </w:rPr>
        <w:t>》</w:t>
      </w:r>
      <w:r>
        <w:rPr>
          <w:rFonts w:hint="eastAsia" w:ascii="仿宋_GB2312" w:hAnsi="仿宋_GB2312" w:eastAsia="仿宋_GB2312" w:cs="仿宋_GB2312"/>
          <w:lang w:val="en-US" w:eastAsia="zh-CN"/>
        </w:rPr>
        <w:t>包含总则、专家库</w:t>
      </w:r>
      <w:r>
        <w:rPr>
          <w:rFonts w:hint="eastAsia" w:ascii="仿宋_GB2312" w:hAnsi="仿宋_GB2312" w:cs="仿宋_GB2312"/>
          <w:lang w:val="en-US" w:eastAsia="zh-CN"/>
        </w:rPr>
        <w:t>入库管理</w:t>
      </w:r>
      <w:r>
        <w:rPr>
          <w:rFonts w:hint="eastAsia" w:ascii="仿宋_GB2312" w:hAnsi="仿宋_GB2312" w:eastAsia="仿宋_GB2312" w:cs="仿宋_GB2312"/>
          <w:lang w:val="en-US" w:eastAsia="zh-CN"/>
        </w:rPr>
        <w:t>、专家库</w:t>
      </w:r>
      <w:r>
        <w:rPr>
          <w:rFonts w:hint="eastAsia" w:ascii="仿宋_GB2312" w:hAnsi="仿宋_GB2312" w:cs="仿宋_GB2312"/>
          <w:lang w:val="en-US" w:eastAsia="zh-CN"/>
        </w:rPr>
        <w:t>抽取和</w:t>
      </w:r>
      <w:r>
        <w:rPr>
          <w:rFonts w:hint="eastAsia" w:ascii="仿宋_GB2312" w:hAnsi="仿宋_GB2312" w:eastAsia="仿宋_GB2312" w:cs="仿宋_GB2312"/>
          <w:lang w:val="en-US" w:eastAsia="zh-CN"/>
        </w:rPr>
        <w:t>使用、监督管理、附则</w:t>
      </w:r>
      <w:r>
        <w:rPr>
          <w:rFonts w:hint="eastAsia" w:ascii="仿宋_GB2312" w:hAnsi="仿宋_GB2312" w:cs="仿宋_GB2312"/>
          <w:lang w:val="en-US" w:eastAsia="zh-CN"/>
        </w:rPr>
        <w:t>等五章共28条（含附件）</w:t>
      </w:r>
      <w:r>
        <w:rPr>
          <w:rFonts w:hint="eastAsia" w:ascii="仿宋_GB2312" w:hAnsi="仿宋_GB2312" w:eastAsia="仿宋_GB2312" w:cs="仿宋_GB231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b/>
          <w:bCs/>
          <w:lang w:val="en-US" w:eastAsia="zh-CN"/>
        </w:rPr>
        <w:t>第一章</w:t>
      </w:r>
      <w:r>
        <w:rPr>
          <w:rFonts w:hint="eastAsia" w:ascii="仿宋_GB2312" w:hAnsi="仿宋_GB2312" w:eastAsia="仿宋_GB2312" w:cs="仿宋_GB2312"/>
          <w:b w:val="0"/>
          <w:bCs w:val="0"/>
          <w:lang w:val="en-US" w:eastAsia="zh-CN"/>
        </w:rPr>
        <w:t>总则</w:t>
      </w:r>
      <w:r>
        <w:rPr>
          <w:rFonts w:hint="eastAsia" w:ascii="仿宋_GB2312" w:hAnsi="仿宋_GB2312" w:cs="仿宋_GB2312"/>
          <w:b w:val="0"/>
          <w:bCs w:val="0"/>
          <w:lang w:val="en-US" w:eastAsia="zh-CN"/>
        </w:rPr>
        <w:t>共5条</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对修订</w:t>
      </w:r>
      <w:r>
        <w:rPr>
          <w:rFonts w:hint="eastAsia" w:ascii="仿宋_GB2312" w:hAnsi="仿宋_GB2312" w:eastAsia="仿宋_GB2312" w:cs="仿宋_GB2312"/>
          <w:lang w:val="en-US" w:eastAsia="zh-CN"/>
        </w:rPr>
        <w:t>目的</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适用范围</w:t>
      </w:r>
      <w:r>
        <w:rPr>
          <w:rFonts w:hint="eastAsia" w:ascii="仿宋_GB2312" w:hAnsi="仿宋_GB2312" w:cs="仿宋_GB2312"/>
          <w:lang w:val="en-US" w:eastAsia="zh-CN"/>
        </w:rPr>
        <w:t>、相关定义以及市发展改革委与创新中心的职责分工等进行了说明</w:t>
      </w:r>
      <w:r>
        <w:rPr>
          <w:rFonts w:hint="eastAsia" w:ascii="仿宋_GB2312" w:hAnsi="仿宋_GB2312" w:eastAsia="仿宋_GB2312" w:cs="仿宋_GB231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b/>
          <w:bCs/>
          <w:lang w:val="en-US" w:eastAsia="zh-CN"/>
        </w:rPr>
        <w:t>第二章</w:t>
      </w:r>
      <w:r>
        <w:rPr>
          <w:rFonts w:hint="eastAsia" w:ascii="仿宋_GB2312" w:hAnsi="仿宋_GB2312" w:eastAsia="仿宋_GB2312" w:cs="仿宋_GB2312"/>
          <w:b w:val="0"/>
          <w:bCs w:val="0"/>
          <w:lang w:val="en-US" w:eastAsia="zh-CN"/>
        </w:rPr>
        <w:t>专家库</w:t>
      </w:r>
      <w:r>
        <w:rPr>
          <w:rFonts w:hint="eastAsia" w:ascii="仿宋_GB2312" w:hAnsi="仿宋_GB2312" w:cs="仿宋_GB2312"/>
          <w:b w:val="0"/>
          <w:bCs w:val="0"/>
          <w:lang w:val="en-US" w:eastAsia="zh-CN"/>
        </w:rPr>
        <w:t>入库管理共4条</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对专家来源、专家入库基本条件、入库方式，专家信息定期更新机制等进行了明确。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b/>
          <w:bCs/>
          <w:lang w:val="en-US" w:eastAsia="zh-CN"/>
        </w:rPr>
        <w:t>第三章</w:t>
      </w:r>
      <w:r>
        <w:rPr>
          <w:rFonts w:hint="eastAsia" w:ascii="仿宋_GB2312" w:hAnsi="仿宋_GB2312" w:eastAsia="仿宋_GB2312" w:cs="仿宋_GB2312"/>
          <w:b w:val="0"/>
          <w:bCs w:val="0"/>
          <w:lang w:val="en-US" w:eastAsia="zh-CN"/>
        </w:rPr>
        <w:t>专家库</w:t>
      </w:r>
      <w:r>
        <w:rPr>
          <w:rFonts w:hint="eastAsia" w:ascii="仿宋_GB2312" w:hAnsi="仿宋_GB2312" w:cs="仿宋_GB2312"/>
          <w:b w:val="0"/>
          <w:bCs w:val="0"/>
          <w:lang w:val="en-US" w:eastAsia="zh-CN"/>
        </w:rPr>
        <w:t>抽取和</w:t>
      </w:r>
      <w:r>
        <w:rPr>
          <w:rFonts w:hint="eastAsia" w:ascii="仿宋_GB2312" w:hAnsi="仿宋_GB2312" w:eastAsia="仿宋_GB2312" w:cs="仿宋_GB2312"/>
          <w:b w:val="0"/>
          <w:bCs w:val="0"/>
          <w:lang w:val="en-US" w:eastAsia="zh-CN"/>
        </w:rPr>
        <w:t>使用共</w:t>
      </w:r>
      <w:r>
        <w:rPr>
          <w:rFonts w:hint="eastAsia" w:ascii="仿宋_GB2312" w:hAnsi="仿宋_GB2312" w:cs="仿宋_GB2312"/>
          <w:b w:val="0"/>
          <w:bCs w:val="0"/>
          <w:lang w:val="en-US" w:eastAsia="zh-CN"/>
        </w:rPr>
        <w:t>10</w:t>
      </w:r>
      <w:r>
        <w:rPr>
          <w:rFonts w:hint="eastAsia" w:ascii="仿宋_GB2312" w:hAnsi="仿宋_GB2312" w:eastAsia="仿宋_GB2312" w:cs="仿宋_GB2312"/>
          <w:b w:val="0"/>
          <w:bCs w:val="0"/>
          <w:lang w:val="en-US" w:eastAsia="zh-CN"/>
        </w:rPr>
        <w:t>条</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主要阐述了专家组构成条件，专家轮换、专家回避、专家抽取和履职评价要求，以及专家在提供咨询服务过程中的权利与义务等。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cs="仿宋_GB2312"/>
          <w:b/>
          <w:bCs/>
          <w:lang w:val="en-US" w:eastAsia="zh-CN"/>
        </w:rPr>
        <w:t>第四章</w:t>
      </w:r>
      <w:r>
        <w:rPr>
          <w:rFonts w:hint="eastAsia" w:ascii="仿宋_GB2312" w:hAnsi="仿宋_GB2312" w:cs="仿宋_GB2312"/>
          <w:b w:val="0"/>
          <w:bCs w:val="0"/>
          <w:lang w:val="en-US" w:eastAsia="zh-CN"/>
        </w:rPr>
        <w:t>监督管理共5条，</w:t>
      </w:r>
      <w:r>
        <w:rPr>
          <w:rFonts w:hint="eastAsia" w:ascii="仿宋_GB2312" w:hAnsi="仿宋_GB2312" w:cs="仿宋_GB2312"/>
          <w:lang w:val="en-US" w:eastAsia="zh-CN"/>
        </w:rPr>
        <w:t>明确专家负面行为、出库标准及专家违法违规行为异议处置方式等。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outlineLvl w:val="9"/>
        <w:rPr>
          <w:rFonts w:hint="eastAsia" w:ascii="仿宋_GB2312" w:hAnsi="仿宋_GB2312" w:cs="仿宋_GB2312"/>
          <w:lang w:val="en-US" w:eastAsia="zh-CN"/>
        </w:rPr>
      </w:pPr>
      <w:r>
        <w:rPr>
          <w:rFonts w:hint="eastAsia" w:ascii="仿宋_GB2312" w:hAnsi="仿宋_GB2312" w:cs="仿宋_GB2312"/>
          <w:b/>
          <w:bCs/>
          <w:lang w:val="en-US" w:eastAsia="zh-CN"/>
        </w:rPr>
        <w:t>第五章</w:t>
      </w:r>
      <w:r>
        <w:rPr>
          <w:rFonts w:hint="eastAsia" w:ascii="仿宋_GB2312" w:hAnsi="仿宋_GB2312" w:eastAsia="仿宋_GB2312" w:cs="仿宋_GB2312"/>
          <w:b w:val="0"/>
          <w:bCs w:val="0"/>
          <w:lang w:val="en-US" w:eastAsia="zh-CN"/>
        </w:rPr>
        <w:t>附则共</w:t>
      </w:r>
      <w:r>
        <w:rPr>
          <w:rFonts w:hint="eastAsia" w:ascii="仿宋_GB2312" w:hAnsi="仿宋_GB2312" w:cs="仿宋_GB2312"/>
          <w:b w:val="0"/>
          <w:bCs w:val="0"/>
          <w:lang w:val="en-US" w:eastAsia="zh-CN"/>
        </w:rPr>
        <w:t>4</w:t>
      </w:r>
      <w:r>
        <w:rPr>
          <w:rFonts w:hint="eastAsia" w:ascii="仿宋_GB2312" w:hAnsi="仿宋_GB2312" w:eastAsia="仿宋_GB2312" w:cs="仿宋_GB2312"/>
          <w:b w:val="0"/>
          <w:bCs w:val="0"/>
          <w:lang w:val="en-US" w:eastAsia="zh-CN"/>
        </w:rPr>
        <w:t>条</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明确了专家劳务报酬指导标准、办法的适用范围以及时效等。</w:t>
      </w:r>
    </w:p>
    <w:p>
      <w:pPr>
        <w:numPr>
          <w:ilvl w:val="0"/>
          <w:numId w:val="0"/>
        </w:numPr>
        <w:spacing w:beforeLines="0" w:afterLines="0" w:line="560" w:lineRule="exact"/>
        <w:ind w:firstLine="640" w:firstLineChars="200"/>
        <w:outlineLvl w:val="9"/>
        <w:rPr>
          <w:rFonts w:hint="eastAsia" w:ascii="仿宋_GB2312" w:hAnsi="仿宋_GB2312" w:cs="仿宋_GB2312"/>
          <w:lang w:val="en-US" w:eastAsia="zh-CN"/>
        </w:rPr>
      </w:pPr>
      <w:r>
        <w:rPr>
          <w:rFonts w:hint="eastAsia" w:ascii="仿宋_GB2312" w:hAnsi="仿宋_GB2312" w:cs="仿宋_GB2312"/>
          <w:lang w:val="en-US" w:eastAsia="zh-CN"/>
        </w:rPr>
        <w:t>附件是专项资金专家劳务报酬指导标准，指导市发展改革委或受委托的第三方服务机构依法依规发放劳务报酬，保障专家参与项目咨询活动获取劳务报酬的基本权益。</w:t>
      </w:r>
    </w:p>
    <w:sectPr>
      <w:footerReference r:id="rId5" w:type="default"/>
      <w:pgSz w:w="11906" w:h="16838"/>
      <w:pgMar w:top="1440" w:right="1803" w:bottom="1440" w:left="1803" w:header="851" w:footer="992" w:gutter="0"/>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1"/>
                              <w:szCs w:val="32"/>
                              <w:lang w:eastAsia="zh-CN"/>
                            </w:rPr>
                          </w:pPr>
                          <w:r>
                            <w:rPr>
                              <w:rFonts w:hint="eastAsia" w:ascii="仿宋_GB2312" w:hAnsi="仿宋_GB2312" w:eastAsia="仿宋_GB2312" w:cs="仿宋_GB2312"/>
                              <w:sz w:val="21"/>
                              <w:szCs w:val="32"/>
                              <w:lang w:eastAsia="zh-CN"/>
                            </w:rPr>
                            <w:fldChar w:fldCharType="begin"/>
                          </w:r>
                          <w:r>
                            <w:rPr>
                              <w:rFonts w:hint="eastAsia" w:ascii="仿宋_GB2312" w:hAnsi="仿宋_GB2312" w:eastAsia="仿宋_GB2312" w:cs="仿宋_GB2312"/>
                              <w:sz w:val="21"/>
                              <w:szCs w:val="32"/>
                              <w:lang w:eastAsia="zh-CN"/>
                            </w:rPr>
                            <w:instrText xml:space="preserve"> PAGE  \* MERGEFORMAT </w:instrText>
                          </w:r>
                          <w:r>
                            <w:rPr>
                              <w:rFonts w:hint="eastAsia" w:ascii="仿宋_GB2312" w:hAnsi="仿宋_GB2312" w:eastAsia="仿宋_GB2312" w:cs="仿宋_GB2312"/>
                              <w:sz w:val="21"/>
                              <w:szCs w:val="32"/>
                              <w:lang w:eastAsia="zh-CN"/>
                            </w:rPr>
                            <w:fldChar w:fldCharType="separate"/>
                          </w:r>
                          <w:r>
                            <w:rPr>
                              <w:rFonts w:hint="eastAsia" w:ascii="仿宋_GB2312" w:hAnsi="仿宋_GB2312" w:eastAsia="仿宋_GB2312" w:cs="仿宋_GB2312"/>
                              <w:sz w:val="21"/>
                              <w:szCs w:val="32"/>
                              <w:lang w:eastAsia="zh-CN"/>
                            </w:rPr>
                            <w:t>1</w:t>
                          </w:r>
                          <w:r>
                            <w:rPr>
                              <w:rFonts w:hint="eastAsia" w:ascii="仿宋_GB2312" w:hAnsi="仿宋_GB2312" w:eastAsia="仿宋_GB2312" w:cs="仿宋_GB2312"/>
                              <w:sz w:val="21"/>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1"/>
                        <w:szCs w:val="32"/>
                        <w:lang w:eastAsia="zh-CN"/>
                      </w:rPr>
                    </w:pPr>
                    <w:r>
                      <w:rPr>
                        <w:rFonts w:hint="eastAsia" w:ascii="仿宋_GB2312" w:hAnsi="仿宋_GB2312" w:eastAsia="仿宋_GB2312" w:cs="仿宋_GB2312"/>
                        <w:sz w:val="21"/>
                        <w:szCs w:val="32"/>
                        <w:lang w:eastAsia="zh-CN"/>
                      </w:rPr>
                      <w:fldChar w:fldCharType="begin"/>
                    </w:r>
                    <w:r>
                      <w:rPr>
                        <w:rFonts w:hint="eastAsia" w:ascii="仿宋_GB2312" w:hAnsi="仿宋_GB2312" w:eastAsia="仿宋_GB2312" w:cs="仿宋_GB2312"/>
                        <w:sz w:val="21"/>
                        <w:szCs w:val="32"/>
                        <w:lang w:eastAsia="zh-CN"/>
                      </w:rPr>
                      <w:instrText xml:space="preserve"> PAGE  \* MERGEFORMAT </w:instrText>
                    </w:r>
                    <w:r>
                      <w:rPr>
                        <w:rFonts w:hint="eastAsia" w:ascii="仿宋_GB2312" w:hAnsi="仿宋_GB2312" w:eastAsia="仿宋_GB2312" w:cs="仿宋_GB2312"/>
                        <w:sz w:val="21"/>
                        <w:szCs w:val="32"/>
                        <w:lang w:eastAsia="zh-CN"/>
                      </w:rPr>
                      <w:fldChar w:fldCharType="separate"/>
                    </w:r>
                    <w:r>
                      <w:rPr>
                        <w:rFonts w:hint="eastAsia" w:ascii="仿宋_GB2312" w:hAnsi="仿宋_GB2312" w:eastAsia="仿宋_GB2312" w:cs="仿宋_GB2312"/>
                        <w:sz w:val="21"/>
                        <w:szCs w:val="32"/>
                        <w:lang w:eastAsia="zh-CN"/>
                      </w:rPr>
                      <w:t>1</w:t>
                    </w:r>
                    <w:r>
                      <w:rPr>
                        <w:rFonts w:hint="eastAsia" w:ascii="仿宋_GB2312" w:hAnsi="仿宋_GB2312" w:eastAsia="仿宋_GB2312" w:cs="仿宋_GB2312"/>
                        <w:sz w:val="21"/>
                        <w:szCs w:val="32"/>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E6FAFF"/>
    <w:multiLevelType w:val="singleLevel"/>
    <w:tmpl w:val="73E6FAF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trackRevisions w:val="1"/>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91261FC"/>
    <w:rsid w:val="010669DB"/>
    <w:rsid w:val="02EE6E60"/>
    <w:rsid w:val="051D197E"/>
    <w:rsid w:val="067BFB57"/>
    <w:rsid w:val="091261FC"/>
    <w:rsid w:val="091F2811"/>
    <w:rsid w:val="095A1078"/>
    <w:rsid w:val="0ACB1BB2"/>
    <w:rsid w:val="0B754338"/>
    <w:rsid w:val="0EA47847"/>
    <w:rsid w:val="0F7671CC"/>
    <w:rsid w:val="123F718B"/>
    <w:rsid w:val="12542176"/>
    <w:rsid w:val="12675773"/>
    <w:rsid w:val="16D823AF"/>
    <w:rsid w:val="182B2012"/>
    <w:rsid w:val="1A5D5565"/>
    <w:rsid w:val="1AB75C3F"/>
    <w:rsid w:val="1B7A271E"/>
    <w:rsid w:val="1B7B3D4D"/>
    <w:rsid w:val="1B7C34DF"/>
    <w:rsid w:val="1E2C4F39"/>
    <w:rsid w:val="1F5F0BB1"/>
    <w:rsid w:val="1FC35EE8"/>
    <w:rsid w:val="218D0ECF"/>
    <w:rsid w:val="240A4585"/>
    <w:rsid w:val="26B32FB9"/>
    <w:rsid w:val="26B91BA8"/>
    <w:rsid w:val="2A1D3416"/>
    <w:rsid w:val="2A76271D"/>
    <w:rsid w:val="2A8440E4"/>
    <w:rsid w:val="2ADD782F"/>
    <w:rsid w:val="2CF7CC0C"/>
    <w:rsid w:val="2E1D6119"/>
    <w:rsid w:val="2EB0522D"/>
    <w:rsid w:val="2F3313F5"/>
    <w:rsid w:val="30D7147F"/>
    <w:rsid w:val="31206F84"/>
    <w:rsid w:val="33E9D38A"/>
    <w:rsid w:val="33FF6DA6"/>
    <w:rsid w:val="35112243"/>
    <w:rsid w:val="36FF82C4"/>
    <w:rsid w:val="37FEB781"/>
    <w:rsid w:val="39DF923C"/>
    <w:rsid w:val="3B680C54"/>
    <w:rsid w:val="3C873AF4"/>
    <w:rsid w:val="3D9A325B"/>
    <w:rsid w:val="3E796B41"/>
    <w:rsid w:val="3F9F39C3"/>
    <w:rsid w:val="3FD719C2"/>
    <w:rsid w:val="407A4CFA"/>
    <w:rsid w:val="407E2611"/>
    <w:rsid w:val="41F850A7"/>
    <w:rsid w:val="42FE5496"/>
    <w:rsid w:val="446269C1"/>
    <w:rsid w:val="45EFCF52"/>
    <w:rsid w:val="47874A5F"/>
    <w:rsid w:val="4A6A5861"/>
    <w:rsid w:val="4B2165EE"/>
    <w:rsid w:val="4B2174B1"/>
    <w:rsid w:val="4B456F3E"/>
    <w:rsid w:val="4B46238B"/>
    <w:rsid w:val="4B6D7249"/>
    <w:rsid w:val="4CB63B7E"/>
    <w:rsid w:val="4CFF289D"/>
    <w:rsid w:val="4EDB5B5F"/>
    <w:rsid w:val="50FEE22B"/>
    <w:rsid w:val="51726D54"/>
    <w:rsid w:val="53AD27C3"/>
    <w:rsid w:val="53B10144"/>
    <w:rsid w:val="53B94EBA"/>
    <w:rsid w:val="541971AD"/>
    <w:rsid w:val="547B2CED"/>
    <w:rsid w:val="572C4C1B"/>
    <w:rsid w:val="575FEB8E"/>
    <w:rsid w:val="58040407"/>
    <w:rsid w:val="591B3882"/>
    <w:rsid w:val="59FF95D2"/>
    <w:rsid w:val="5D7672BE"/>
    <w:rsid w:val="5DF2899B"/>
    <w:rsid w:val="5E34387E"/>
    <w:rsid w:val="5E5F5D38"/>
    <w:rsid w:val="5EBFECF2"/>
    <w:rsid w:val="5EFAD530"/>
    <w:rsid w:val="601868DB"/>
    <w:rsid w:val="65784369"/>
    <w:rsid w:val="66C907F9"/>
    <w:rsid w:val="6777227F"/>
    <w:rsid w:val="6BAF40E3"/>
    <w:rsid w:val="6BB3E967"/>
    <w:rsid w:val="6BEB6CDE"/>
    <w:rsid w:val="6CC30033"/>
    <w:rsid w:val="6D3DE8B5"/>
    <w:rsid w:val="6E481E69"/>
    <w:rsid w:val="6EF7E472"/>
    <w:rsid w:val="6EFD8221"/>
    <w:rsid w:val="6EFF0DEF"/>
    <w:rsid w:val="6EFFC9CD"/>
    <w:rsid w:val="6F37C7A5"/>
    <w:rsid w:val="6F5D301A"/>
    <w:rsid w:val="6FEB2F2E"/>
    <w:rsid w:val="6FFDCBCA"/>
    <w:rsid w:val="6FFF6817"/>
    <w:rsid w:val="71F919F7"/>
    <w:rsid w:val="737F11D2"/>
    <w:rsid w:val="7445738B"/>
    <w:rsid w:val="7496264D"/>
    <w:rsid w:val="760C0B38"/>
    <w:rsid w:val="762FD739"/>
    <w:rsid w:val="767E04BC"/>
    <w:rsid w:val="76CB2F60"/>
    <w:rsid w:val="77F4519C"/>
    <w:rsid w:val="77FF907C"/>
    <w:rsid w:val="79D8397D"/>
    <w:rsid w:val="7B0518AB"/>
    <w:rsid w:val="7B5F1669"/>
    <w:rsid w:val="7BBFEE20"/>
    <w:rsid w:val="7BF98B73"/>
    <w:rsid w:val="7D784DD4"/>
    <w:rsid w:val="7D7E4BE6"/>
    <w:rsid w:val="7DBF61B9"/>
    <w:rsid w:val="7DDDE4C2"/>
    <w:rsid w:val="7DEF4D81"/>
    <w:rsid w:val="7DF382F2"/>
    <w:rsid w:val="7DFE1964"/>
    <w:rsid w:val="7E9D0D09"/>
    <w:rsid w:val="7EBF81D7"/>
    <w:rsid w:val="7EF9202B"/>
    <w:rsid w:val="7F356ADA"/>
    <w:rsid w:val="7F3D2D2D"/>
    <w:rsid w:val="7F3E6769"/>
    <w:rsid w:val="7F6AA3C9"/>
    <w:rsid w:val="7FB7752E"/>
    <w:rsid w:val="7FBFEF24"/>
    <w:rsid w:val="7FE9CE48"/>
    <w:rsid w:val="7FEB7788"/>
    <w:rsid w:val="7FEBF03C"/>
    <w:rsid w:val="7FEF3D3F"/>
    <w:rsid w:val="7FF22A42"/>
    <w:rsid w:val="7FF6694D"/>
    <w:rsid w:val="7FFA7029"/>
    <w:rsid w:val="7FFB903F"/>
    <w:rsid w:val="7FFC579A"/>
    <w:rsid w:val="8BCBD11E"/>
    <w:rsid w:val="977AC2B0"/>
    <w:rsid w:val="9DE1772E"/>
    <w:rsid w:val="9DEDE242"/>
    <w:rsid w:val="A979E435"/>
    <w:rsid w:val="A9DF965F"/>
    <w:rsid w:val="ABFF65A8"/>
    <w:rsid w:val="AD7501A2"/>
    <w:rsid w:val="AE57F19F"/>
    <w:rsid w:val="AEE78EB4"/>
    <w:rsid w:val="AF5D811A"/>
    <w:rsid w:val="B5BEDE11"/>
    <w:rsid w:val="B7313649"/>
    <w:rsid w:val="BB7B8849"/>
    <w:rsid w:val="BCFD40EC"/>
    <w:rsid w:val="BD2ED80E"/>
    <w:rsid w:val="BEB68F32"/>
    <w:rsid w:val="BEF76958"/>
    <w:rsid w:val="BFB77EDE"/>
    <w:rsid w:val="CBDA1B29"/>
    <w:rsid w:val="CFEFE020"/>
    <w:rsid w:val="CFFFD725"/>
    <w:rsid w:val="DBEFACF4"/>
    <w:rsid w:val="DBFF8415"/>
    <w:rsid w:val="DDDBD8F9"/>
    <w:rsid w:val="DE9F7800"/>
    <w:rsid w:val="DF7F14D8"/>
    <w:rsid w:val="DFB39311"/>
    <w:rsid w:val="DFDFA88B"/>
    <w:rsid w:val="DFEF0A5E"/>
    <w:rsid w:val="DFFED921"/>
    <w:rsid w:val="E3BFFC21"/>
    <w:rsid w:val="EBDEAC46"/>
    <w:rsid w:val="EBF712C8"/>
    <w:rsid w:val="EFB7A259"/>
    <w:rsid w:val="EFF73B1D"/>
    <w:rsid w:val="F37F356B"/>
    <w:rsid w:val="F5BFEB5C"/>
    <w:rsid w:val="F5FCB40C"/>
    <w:rsid w:val="F5FEB78E"/>
    <w:rsid w:val="F6B7A66F"/>
    <w:rsid w:val="F7D74D46"/>
    <w:rsid w:val="F7DD2EDE"/>
    <w:rsid w:val="F7FE2E92"/>
    <w:rsid w:val="F8EA64D6"/>
    <w:rsid w:val="F91E9E38"/>
    <w:rsid w:val="F9DD51B6"/>
    <w:rsid w:val="FB67B226"/>
    <w:rsid w:val="FB6F309E"/>
    <w:rsid w:val="FB7FB830"/>
    <w:rsid w:val="FD6E0EC2"/>
    <w:rsid w:val="FDA2C5FA"/>
    <w:rsid w:val="FDDE7EFD"/>
    <w:rsid w:val="FEB84B3D"/>
    <w:rsid w:val="FEFD4619"/>
    <w:rsid w:val="FF7DD8E6"/>
    <w:rsid w:val="FF7FFFFC"/>
    <w:rsid w:val="FFA79A5F"/>
    <w:rsid w:val="FFE7963A"/>
    <w:rsid w:val="FFF5AC47"/>
    <w:rsid w:val="FFFBA772"/>
    <w:rsid w:val="FFFF7EAC"/>
    <w:rsid w:val="FFFFC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eastAsia="方正小标宋简体"/>
      <w:kern w:val="44"/>
      <w:sz w:val="44"/>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rFonts w:eastAsia="楷体"/>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6">
    <w:name w:val="Body Text"/>
    <w:basedOn w:val="1"/>
    <w:next w:val="1"/>
    <w:qFormat/>
    <w:uiPriority w:val="1"/>
    <w:rPr>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sz w:val="18"/>
      <w:szCs w:val="18"/>
      <w:u w:val="none"/>
    </w:rPr>
  </w:style>
  <w:style w:type="character" w:styleId="14">
    <w:name w:val="Hyperlink"/>
    <w:basedOn w:val="12"/>
    <w:qFormat/>
    <w:uiPriority w:val="0"/>
    <w:rPr>
      <w:color w:val="000000"/>
      <w:u w:val="none"/>
    </w:rPr>
  </w:style>
  <w:style w:type="paragraph" w:customStyle="1" w:styleId="15">
    <w:name w:val="标题4"/>
    <w:basedOn w:val="1"/>
    <w:qFormat/>
    <w:uiPriority w:val="0"/>
    <w:rPr>
      <w:b/>
    </w:rPr>
  </w:style>
  <w:style w:type="character" w:customStyle="1" w:styleId="16">
    <w:name w:val="after1"/>
    <w:basedOn w:val="12"/>
    <w:qFormat/>
    <w:uiPriority w:val="0"/>
    <w:rPr>
      <w:bdr w:val="single" w:color="B2D7F5" w:sz="6" w:space="0"/>
    </w:rPr>
  </w:style>
  <w:style w:type="character" w:customStyle="1" w:styleId="17">
    <w:name w:val="after2"/>
    <w:basedOn w:val="12"/>
    <w:qFormat/>
    <w:uiPriority w:val="0"/>
    <w:rPr>
      <w:sz w:val="18"/>
      <w:szCs w:val="18"/>
    </w:rPr>
  </w:style>
  <w:style w:type="character" w:customStyle="1" w:styleId="18">
    <w:name w:val="after3"/>
    <w:basedOn w:val="12"/>
    <w:qFormat/>
    <w:uiPriority w:val="0"/>
  </w:style>
  <w:style w:type="character" w:customStyle="1" w:styleId="19">
    <w:name w:val="oatab_active"/>
    <w:basedOn w:val="12"/>
    <w:qFormat/>
    <w:uiPriority w:val="0"/>
  </w:style>
  <w:style w:type="character" w:customStyle="1" w:styleId="20">
    <w:name w:val="oatab_active1"/>
    <w:basedOn w:val="12"/>
    <w:qFormat/>
    <w:uiPriority w:val="0"/>
    <w:rPr>
      <w:color w:val="FFFFFF"/>
    </w:rPr>
  </w:style>
  <w:style w:type="character" w:customStyle="1" w:styleId="21">
    <w:name w:val="oatab_active2"/>
    <w:basedOn w:val="12"/>
    <w:qFormat/>
    <w:uiPriority w:val="0"/>
    <w:rPr>
      <w:color w:val="0079DF"/>
    </w:rPr>
  </w:style>
  <w:style w:type="character" w:customStyle="1" w:styleId="22">
    <w:name w:val="first-child1"/>
    <w:basedOn w:val="12"/>
    <w:qFormat/>
    <w:uiPriority w:val="0"/>
  </w:style>
  <w:style w:type="character" w:customStyle="1" w:styleId="23">
    <w:name w:val="hover29"/>
    <w:basedOn w:val="12"/>
    <w:qFormat/>
    <w:uiPriority w:val="0"/>
  </w:style>
  <w:style w:type="character" w:customStyle="1" w:styleId="24">
    <w:name w:val="hover30"/>
    <w:basedOn w:val="12"/>
    <w:qFormat/>
    <w:uiPriority w:val="0"/>
    <w:rPr>
      <w:shd w:val="clear" w:fill="1776CC"/>
    </w:rPr>
  </w:style>
  <w:style w:type="character" w:customStyle="1" w:styleId="25">
    <w:name w:val="hover31"/>
    <w:basedOn w:val="12"/>
    <w:qFormat/>
    <w:uiPriority w:val="0"/>
  </w:style>
  <w:style w:type="character" w:customStyle="1" w:styleId="26">
    <w:name w:val="hover32"/>
    <w:basedOn w:val="12"/>
    <w:qFormat/>
    <w:uiPriority w:val="0"/>
    <w:rPr>
      <w:shd w:val="clear" w:fill="CBE2FF"/>
    </w:rPr>
  </w:style>
  <w:style w:type="character" w:customStyle="1" w:styleId="27">
    <w:name w:val="after"/>
    <w:basedOn w:val="12"/>
    <w:qFormat/>
    <w:uiPriority w:val="0"/>
    <w:rPr>
      <w:bdr w:val="single" w:color="B2D7F5" w:sz="6" w:space="0"/>
    </w:rPr>
  </w:style>
  <w:style w:type="character" w:customStyle="1" w:styleId="28">
    <w:name w:val="first-child"/>
    <w:basedOn w:val="12"/>
    <w:qFormat/>
    <w:uiPriority w:val="0"/>
  </w:style>
  <w:style w:type="character" w:customStyle="1" w:styleId="29">
    <w:name w:val="hover27"/>
    <w:basedOn w:val="12"/>
    <w:qFormat/>
    <w:uiPriority w:val="0"/>
  </w:style>
  <w:style w:type="character" w:customStyle="1" w:styleId="30">
    <w:name w:val="hover28"/>
    <w:basedOn w:val="12"/>
    <w:qFormat/>
    <w:uiPriority w:val="0"/>
    <w:rPr>
      <w:shd w:val="clear" w:fill="1776C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2297</Words>
  <Characters>2317</Characters>
  <Lines>0</Lines>
  <Paragraphs>0</Paragraphs>
  <TotalTime>4</TotalTime>
  <ScaleCrop>false</ScaleCrop>
  <LinksUpToDate>false</LinksUpToDate>
  <CharactersWithSpaces>2317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2019-10-18T22:04:00Z</dcterms:created>
  <dc:creator>胡良斌</dc:creator>
  <cp:lastModifiedBy>小陈</cp:lastModifiedBy>
  <cp:lastPrinted>2023-10-11T16:51:00Z</cp:lastPrinted>
  <dcterms:modified xsi:type="dcterms:W3CDTF">2023-11-03T09:06:25Z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F2127F61F15C4595B95166225BBA1688_13</vt:lpwstr>
  </property>
</Properties>
</file>