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0" w:after="0" w:line="560" w:lineRule="exact"/>
        <w:jc w:val="left"/>
        <w:textAlignment w:val="auto"/>
        <w:outlineLvl w:val="0"/>
        <w:rPr>
          <w:rFonts w:hint="eastAsia" w:ascii="黑体" w:hAnsi="黑体" w:eastAsia="黑体" w:cs="黑体"/>
          <w:b w:val="0"/>
          <w:bCs w:val="0"/>
          <w:kern w:val="2"/>
          <w:sz w:val="32"/>
          <w:szCs w:val="32"/>
          <w:lang w:val="en-US" w:eastAsia="zh-CN" w:bidi="ar-SA"/>
        </w:rPr>
      </w:pPr>
      <w:bookmarkStart w:id="0" w:name="_GoBack"/>
      <w:bookmarkEnd w:id="0"/>
      <w:r>
        <w:rPr>
          <w:rFonts w:hint="eastAsia" w:ascii="黑体" w:hAnsi="黑体" w:eastAsia="黑体" w:cs="黑体"/>
          <w:b w:val="0"/>
          <w:bCs w:val="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val="0"/>
          <w:kern w:val="2"/>
          <w:sz w:val="44"/>
          <w:szCs w:val="44"/>
          <w:lang w:val="en-US" w:eastAsia="zh-CN" w:bidi="ar-SA"/>
        </w:rPr>
        <w:t>龙</w:t>
      </w:r>
      <w:r>
        <w:rPr>
          <w:rFonts w:hint="eastAsia" w:ascii="方正小标宋简体" w:hAnsi="方正小标宋简体" w:eastAsia="方正小标宋简体" w:cs="方正小标宋简体"/>
          <w:b w:val="0"/>
          <w:bCs w:val="0"/>
          <w:kern w:val="2"/>
          <w:sz w:val="44"/>
          <w:szCs w:val="44"/>
          <w:u w:val="none"/>
          <w:lang w:val="en-US" w:eastAsia="zh-CN" w:bidi="ar-SA"/>
        </w:rPr>
        <w:t>华区</w:t>
      </w:r>
      <w:r>
        <w:rPr>
          <w:rFonts w:hint="default" w:ascii="方正小标宋简体" w:hAnsi="方正小标宋简体" w:eastAsia="方正小标宋简体" w:cs="方正小标宋简体"/>
          <w:b w:val="0"/>
          <w:bCs w:val="0"/>
          <w:kern w:val="2"/>
          <w:sz w:val="44"/>
          <w:szCs w:val="44"/>
          <w:u w:val="none"/>
          <w:lang w:val="en" w:eastAsia="zh-CN" w:bidi="ar-SA"/>
        </w:rPr>
        <w:t>工业和信息化局</w:t>
      </w:r>
      <w:r>
        <w:rPr>
          <w:rFonts w:hint="eastAsia" w:ascii="方正小标宋简体" w:hAnsi="方正小标宋简体" w:eastAsia="方正小标宋简体" w:cs="方正小标宋简体"/>
          <w:color w:val="auto"/>
          <w:sz w:val="44"/>
          <w:szCs w:val="44"/>
        </w:rPr>
        <w:t>2023</w:t>
      </w:r>
      <w:r>
        <w:rPr>
          <w:rFonts w:hint="default" w:ascii="方正小标宋简体" w:hAnsi="方正小标宋简体" w:eastAsia="方正小标宋简体" w:cs="方正小标宋简体"/>
          <w:color w:val="auto"/>
          <w:sz w:val="44"/>
          <w:szCs w:val="44"/>
          <w:lang w:val="en-US"/>
        </w:rPr>
        <w:t>-2024</w:t>
      </w:r>
      <w:r>
        <w:rPr>
          <w:rFonts w:hint="eastAsia" w:ascii="方正小标宋简体" w:hAnsi="方正小标宋简体" w:eastAsia="方正小标宋简体" w:cs="方正小标宋简体"/>
          <w:color w:val="auto"/>
          <w:sz w:val="44"/>
          <w:szCs w:val="44"/>
        </w:rPr>
        <w:t>年金融招商</w:t>
      </w:r>
    </w:p>
    <w:p>
      <w:pPr>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0"/>
        <w:rPr>
          <w:rFonts w:hint="eastAsia" w:ascii="方正小标宋简体" w:hAnsi="方正小标宋简体" w:eastAsia="方正小标宋简体" w:cs="方正小标宋简体"/>
          <w:b w:val="0"/>
          <w:bCs w:val="0"/>
          <w:kern w:val="2"/>
          <w:sz w:val="44"/>
          <w:szCs w:val="44"/>
          <w:highlight w:val="none"/>
          <w:u w:val="none"/>
          <w:lang w:val="en-US" w:eastAsia="zh-CN" w:bidi="ar-SA"/>
        </w:rPr>
      </w:pPr>
      <w:r>
        <w:rPr>
          <w:rFonts w:hint="eastAsia" w:ascii="方正小标宋简体" w:hAnsi="方正小标宋简体" w:eastAsia="方正小标宋简体" w:cs="方正小标宋简体"/>
          <w:color w:val="auto"/>
          <w:sz w:val="44"/>
          <w:szCs w:val="44"/>
        </w:rPr>
        <w:t>专项</w:t>
      </w:r>
      <w:r>
        <w:rPr>
          <w:rFonts w:hint="eastAsia" w:ascii="方正小标宋简体" w:hAnsi="方正小标宋简体" w:eastAsia="方正小标宋简体" w:cs="方正小标宋简体"/>
          <w:color w:val="auto"/>
          <w:sz w:val="44"/>
          <w:szCs w:val="44"/>
          <w:lang w:eastAsia="zh-CN"/>
        </w:rPr>
        <w:t>辅助服务</w:t>
      </w:r>
      <w:r>
        <w:rPr>
          <w:rFonts w:hint="eastAsia" w:ascii="方正小标宋简体" w:hAnsi="方正小标宋简体" w:eastAsia="方正小标宋简体" w:cs="方正小标宋简体"/>
          <w:color w:val="auto"/>
          <w:sz w:val="44"/>
          <w:szCs w:val="44"/>
        </w:rPr>
        <w:t>项目</w:t>
      </w:r>
      <w:r>
        <w:rPr>
          <w:rFonts w:hint="eastAsia" w:ascii="方正小标宋简体" w:hAnsi="方正小标宋简体" w:eastAsia="方正小标宋简体" w:cs="方正小标宋简体"/>
          <w:b w:val="0"/>
          <w:bCs w:val="0"/>
          <w:strike w:val="0"/>
          <w:dstrike w:val="0"/>
          <w:kern w:val="2"/>
          <w:sz w:val="44"/>
          <w:szCs w:val="44"/>
          <w:highlight w:val="none"/>
          <w:u w:val="none"/>
          <w:lang w:val="en-US" w:eastAsia="zh-CN" w:bidi="ar-SA"/>
        </w:rPr>
        <w:t>需求书</w:t>
      </w:r>
    </w:p>
    <w:p>
      <w:pPr>
        <w:pStyle w:val="7"/>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一、项目</w:t>
      </w:r>
      <w:r>
        <w:rPr>
          <w:rFonts w:hint="eastAsia" w:ascii="黑体" w:hAnsi="黑体" w:eastAsia="黑体" w:cs="黑体"/>
          <w:bCs/>
          <w:sz w:val="32"/>
          <w:szCs w:val="32"/>
          <w:lang w:eastAsia="zh-CN"/>
        </w:rPr>
        <w:t>目的</w:t>
      </w:r>
    </w:p>
    <w:p>
      <w:pPr>
        <w:keepNext w:val="0"/>
        <w:keepLines w:val="0"/>
        <w:pageBreakBefore w:val="0"/>
        <w:widowControl w:val="0"/>
        <w:tabs>
          <w:tab w:val="left" w:pos="1820"/>
        </w:tabs>
        <w:kinsoku/>
        <w:wordWrap/>
        <w:overflowPunct/>
        <w:topLinePunct w:val="0"/>
        <w:autoSpaceDE/>
        <w:autoSpaceDN/>
        <w:bidi w:val="0"/>
        <w:adjustRightInd/>
        <w:snapToGrid w:val="0"/>
        <w:spacing w:beforeLines="0" w:afterLines="0" w:line="560" w:lineRule="exact"/>
        <w:ind w:firstLine="640" w:firstLineChars="200"/>
        <w:jc w:val="both"/>
        <w:textAlignment w:val="auto"/>
        <w:outlineLvl w:val="9"/>
        <w:rPr>
          <w:rFonts w:hint="eastAsia" w:ascii="仿宋_GB2312" w:eastAsia="仿宋_GB2312" w:cs="仿宋_GB2312"/>
          <w:sz w:val="32"/>
          <w:szCs w:val="32"/>
          <w:u w:val="none"/>
          <w:lang w:eastAsia="zh-CN"/>
        </w:rPr>
      </w:pPr>
      <w:r>
        <w:rPr>
          <w:rFonts w:hint="eastAsia" w:ascii="仿宋_GB2312" w:hAnsi="仿宋_GB2312" w:eastAsia="仿宋_GB2312" w:cs="仿宋_GB2312"/>
          <w:color w:val="auto"/>
          <w:sz w:val="32"/>
          <w:szCs w:val="32"/>
          <w:lang w:eastAsia="zh-CN"/>
        </w:rPr>
        <w:t>为进一步做好金融招商引强工作，围绕金融招商，加强相关调研、对比分析相关金融招商</w:t>
      </w:r>
      <w:r>
        <w:rPr>
          <w:rFonts w:hint="eastAsia" w:ascii="仿宋_GB2312" w:hAnsi="仿宋_GB2312" w:eastAsia="仿宋_GB2312" w:cs="仿宋_GB2312"/>
          <w:color w:val="auto"/>
          <w:sz w:val="32"/>
          <w:szCs w:val="32"/>
          <w:lang w:val="en-US" w:eastAsia="zh-CN"/>
        </w:rPr>
        <w:t>举措，</w:t>
      </w:r>
      <w:r>
        <w:rPr>
          <w:rFonts w:hint="eastAsia" w:ascii="仿宋_GB2312" w:hAnsi="仿宋_GB2312" w:eastAsia="仿宋_GB2312" w:cs="仿宋_GB2312"/>
          <w:color w:val="auto"/>
          <w:sz w:val="32"/>
          <w:szCs w:val="32"/>
          <w:lang w:eastAsia="zh-CN"/>
        </w:rPr>
        <w:t>做好招商企业、金融机构等指导跟踪服务工作。据此，我科室拟聘请具有相应资质的服务机构协助我局开展龙华区</w:t>
      </w:r>
      <w:r>
        <w:rPr>
          <w:rFonts w:hint="eastAsia" w:ascii="仿宋_GB2312" w:hAnsi="仿宋_GB2312" w:eastAsia="仿宋_GB2312" w:cs="仿宋_GB2312"/>
          <w:color w:val="auto"/>
          <w:sz w:val="32"/>
          <w:szCs w:val="32"/>
        </w:rPr>
        <w:t>2023</w:t>
      </w:r>
      <w:r>
        <w:rPr>
          <w:rFonts w:hint="default" w:ascii="仿宋_GB2312" w:hAnsi="仿宋_GB2312" w:eastAsia="仿宋_GB2312" w:cs="仿宋_GB2312"/>
          <w:color w:val="auto"/>
          <w:sz w:val="32"/>
          <w:szCs w:val="32"/>
          <w:lang w:val="en-US"/>
        </w:rPr>
        <w:t>-2024</w:t>
      </w:r>
      <w:r>
        <w:rPr>
          <w:rFonts w:hint="eastAsia" w:ascii="仿宋_GB2312" w:hAnsi="仿宋_GB2312" w:eastAsia="仿宋_GB2312" w:cs="仿宋_GB2312"/>
          <w:color w:val="auto"/>
          <w:sz w:val="32"/>
          <w:szCs w:val="32"/>
        </w:rPr>
        <w:t>年金融招商专项</w:t>
      </w:r>
      <w:r>
        <w:rPr>
          <w:rFonts w:hint="eastAsia" w:ascii="仿宋_GB2312" w:hAnsi="仿宋_GB2312" w:eastAsia="仿宋_GB2312" w:cs="仿宋_GB2312"/>
          <w:color w:val="auto"/>
          <w:sz w:val="32"/>
          <w:szCs w:val="32"/>
          <w:lang w:eastAsia="zh-CN"/>
        </w:rPr>
        <w:t>辅助服务</w:t>
      </w:r>
      <w:r>
        <w:rPr>
          <w:rFonts w:hint="eastAsia" w:ascii="仿宋_GB2312" w:hAnsi="仿宋_GB2312" w:eastAsia="仿宋_GB2312" w:cs="仿宋_GB2312"/>
          <w:color w:val="auto"/>
          <w:sz w:val="32"/>
          <w:szCs w:val="32"/>
        </w:rPr>
        <w:t>项目</w:t>
      </w:r>
      <w:r>
        <w:rPr>
          <w:rFonts w:hint="eastAsia" w:ascii="仿宋_GB2312" w:eastAsia="仿宋_GB2312" w:cs="仿宋_GB2312"/>
          <w:sz w:val="32"/>
          <w:szCs w:val="32"/>
          <w:u w:val="none"/>
          <w:lang w:eastAsia="zh-CN"/>
        </w:rPr>
        <w:t>。</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w:t>
      </w:r>
      <w:r>
        <w:rPr>
          <w:rFonts w:hint="eastAsia" w:ascii="黑体" w:hAnsi="黑体" w:eastAsia="黑体" w:cs="黑体"/>
          <w:bCs/>
          <w:sz w:val="32"/>
          <w:szCs w:val="32"/>
          <w:lang w:eastAsia="zh-CN"/>
        </w:rPr>
        <w:t>项目形式</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在合同期内</w:t>
      </w:r>
      <w:r>
        <w:rPr>
          <w:rFonts w:hint="eastAsia" w:ascii="仿宋_GB2312" w:hAnsi="宋体" w:eastAsia="仿宋_GB2312" w:cs="仿宋_GB2312"/>
          <w:sz w:val="32"/>
          <w:szCs w:val="32"/>
          <w:u w:val="none"/>
          <w:lang w:val="en-US" w:eastAsia="zh-CN"/>
        </w:rPr>
        <w:t>（一年）</w:t>
      </w:r>
      <w:r>
        <w:rPr>
          <w:rFonts w:hint="eastAsia" w:ascii="仿宋_GB2312" w:hAnsi="宋体" w:eastAsia="仿宋_GB2312" w:cs="仿宋_GB2312"/>
          <w:sz w:val="32"/>
          <w:szCs w:val="32"/>
          <w:lang w:val="en-US" w:eastAsia="zh-CN"/>
        </w:rPr>
        <w:t>为金融发展科提供</w:t>
      </w:r>
      <w:r>
        <w:rPr>
          <w:rFonts w:hint="eastAsia" w:ascii="仿宋_GB2312" w:hAnsi="仿宋_GB2312" w:eastAsia="仿宋_GB2312" w:cs="仿宋_GB2312"/>
          <w:color w:val="auto"/>
          <w:sz w:val="32"/>
          <w:szCs w:val="32"/>
        </w:rPr>
        <w:t>金融招商专项</w:t>
      </w:r>
      <w:r>
        <w:rPr>
          <w:rFonts w:hint="eastAsia" w:ascii="仿宋_GB2312" w:hAnsi="仿宋_GB2312" w:eastAsia="仿宋_GB2312" w:cs="仿宋_GB2312"/>
          <w:color w:val="auto"/>
          <w:sz w:val="32"/>
          <w:szCs w:val="32"/>
          <w:lang w:eastAsia="zh-CN"/>
        </w:rPr>
        <w:t>辅助服务</w:t>
      </w:r>
      <w:r>
        <w:rPr>
          <w:rFonts w:hint="eastAsia" w:ascii="仿宋_GB2312" w:hAnsi="宋体" w:eastAsia="仿宋_GB2312" w:cs="仿宋_GB2312"/>
          <w:sz w:val="32"/>
          <w:szCs w:val="32"/>
          <w:lang w:val="en-US" w:eastAsia="zh-CN"/>
        </w:rPr>
        <w:t>，包括协助开展金融产业项目接洽、</w:t>
      </w:r>
      <w:r>
        <w:rPr>
          <w:rFonts w:hint="eastAsia" w:ascii="仿宋_GB2312" w:hAnsi="仿宋_GB2312" w:eastAsia="仿宋_GB2312" w:cs="仿宋_GB2312"/>
          <w:sz w:val="32"/>
          <w:szCs w:val="32"/>
          <w:lang w:val="en-US" w:eastAsia="zh-CN"/>
        </w:rPr>
        <w:t>协助向拟迁入、即将迁入重点招商企业提供落户指导服务、</w:t>
      </w:r>
      <w:r>
        <w:rPr>
          <w:rFonts w:hint="eastAsia" w:ascii="仿宋_GB2312" w:hAnsi="仿宋_GB2312" w:eastAsia="仿宋_GB2312" w:cs="仿宋_GB2312"/>
          <w:b w:val="0"/>
          <w:bCs w:val="0"/>
          <w:kern w:val="2"/>
          <w:sz w:val="32"/>
          <w:szCs w:val="32"/>
          <w:lang w:val="en-US" w:eastAsia="zh-CN" w:bidi="ar-SA"/>
        </w:rPr>
        <w:t>协助向拟新设立的金融机构提供前置指导服务、</w:t>
      </w:r>
      <w:r>
        <w:rPr>
          <w:rFonts w:hint="eastAsia" w:ascii="仿宋_GB2312" w:hAnsi="仿宋_GB2312" w:eastAsia="仿宋_GB2312" w:cs="仿宋_GB2312"/>
          <w:sz w:val="32"/>
          <w:szCs w:val="32"/>
        </w:rPr>
        <w:t>协助向新招引已落户龙华区内重点金融企业提供后续跟踪服务、协助提供招商措施对比咨询</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三、时间安排</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自合同签订之日起为期一年</w:t>
      </w:r>
      <w:r>
        <w:rPr>
          <w:rFonts w:hint="eastAsia" w:ascii="仿宋_GB2312" w:hAnsi="仿宋_GB2312" w:eastAsia="仿宋_GB2312" w:cs="仿宋_GB2312"/>
          <w:sz w:val="32"/>
          <w:szCs w:val="32"/>
          <w:u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四、项目内容</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协助开展金融产业项目接洽</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1.全年协助推荐接洽不少于1家分行（公司）及以上的金融机构项目。</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2.全年协助推荐接洽不少于2家3亿元以上的股权投资企业。</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年协助推荐接洽不少于5家小额贷款公司、融资担保公司、典当行、融资租赁公司、商业保理公司、地方各类交易场所、区域性股权市场等地方金融组织项目或其他国家金融监管机构批准的金融项目，或金融类协会和研究机构。</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4.协助走访不少于10家区内产业载体，包括但不限于高端写字楼、工业园区等，为金融招商引资项目提供选址咨询服务。</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（二）协助向拟迁入、即将迁入重点招商企业提供落户指导服务</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1.协助做好招商政策梳理，对有意向落户龙华重点金融招商企业，协助提供日常区情和营商环境咨询服务，并匹配相关政策。</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2.协助梳理重点招商企业（项目）名单，协助开展招商对接，包括现场拜访、调研、联络工作，及时跟进招商动态。</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3.协助收集企业有关落户诉求，对企业落户龙华区后可产生的经济效益或金融影响力进行评估，制定相应的招引计划、方案。</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（三）协助向拟新设立的金融机构提供前置指导服务</w:t>
      </w:r>
    </w:p>
    <w:p>
      <w:pPr>
        <w:keepNext w:val="0"/>
        <w:keepLines w:val="0"/>
        <w:pageBreakBefore w:val="0"/>
        <w:widowControl w:val="0"/>
        <w:numPr>
          <w:ilvl w:val="0"/>
          <w:numId w:val="0"/>
        </w:numPr>
        <w:tabs>
          <w:tab w:val="left" w:pos="1801"/>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1.协助收集拟新设立金融机构意向，协助为新设立的金融机构，提供前置审核服务。若有需要，须义务协助按照各级金融监管部门要求进行风险排查工作，并提出改进措施或设立建议。</w:t>
      </w:r>
    </w:p>
    <w:p>
      <w:pPr>
        <w:keepNext w:val="0"/>
        <w:keepLines w:val="0"/>
        <w:pageBreakBefore w:val="0"/>
        <w:widowControl w:val="0"/>
        <w:numPr>
          <w:ilvl w:val="0"/>
          <w:numId w:val="0"/>
        </w:numPr>
        <w:tabs>
          <w:tab w:val="left" w:pos="1801"/>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2.协助对新设立的金融机构做前瞻性、引导性研究，同时评估企业设立后对龙华区包括但不限于金融业态培育、金融氛围营造、金融品牌打造等方面的积极影响，形成分析结论报告不少于1篇。</w:t>
      </w:r>
    </w:p>
    <w:p>
      <w:pPr>
        <w:keepNext w:val="0"/>
        <w:keepLines w:val="0"/>
        <w:pageBreakBefore w:val="0"/>
        <w:widowControl w:val="0"/>
        <w:numPr>
          <w:ilvl w:val="0"/>
          <w:numId w:val="1"/>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协助向新招引已落户龙华区内重点金融企业提供后续跟踪服务</w:t>
      </w:r>
    </w:p>
    <w:p>
      <w:pPr>
        <w:keepNext w:val="0"/>
        <w:keepLines w:val="0"/>
        <w:pageBreakBefore w:val="0"/>
        <w:widowControl w:val="0"/>
        <w:numPr>
          <w:ilvl w:val="0"/>
          <w:numId w:val="0"/>
        </w:numPr>
        <w:tabs>
          <w:tab w:val="left" w:pos="1801"/>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1.协助现场走访、调研新招引已落户龙华区内重点金融企业，全年累计不少于12家次，强化企业跟踪服务、提升企业满意度、获得感。</w:t>
      </w:r>
    </w:p>
    <w:p>
      <w:pPr>
        <w:keepNext w:val="0"/>
        <w:keepLines w:val="0"/>
        <w:pageBreakBefore w:val="0"/>
        <w:widowControl w:val="0"/>
        <w:numPr>
          <w:ilvl w:val="0"/>
          <w:numId w:val="0"/>
        </w:numPr>
        <w:tabs>
          <w:tab w:val="left" w:pos="1801"/>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2.协助为龙华区内重点金融企业旗下子公司迁入龙华区提供包括仅不限于办公用房、重点企业认定、资金、人才等跟踪服务。</w:t>
      </w:r>
    </w:p>
    <w:p>
      <w:pPr>
        <w:keepNext w:val="0"/>
        <w:keepLines w:val="0"/>
        <w:pageBreakBefore w:val="0"/>
        <w:widowControl w:val="0"/>
        <w:numPr>
          <w:ilvl w:val="0"/>
          <w:numId w:val="1"/>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协助提供招商措施对比咨询</w:t>
      </w:r>
    </w:p>
    <w:p>
      <w:pPr>
        <w:keepNext w:val="0"/>
        <w:keepLines w:val="0"/>
        <w:pageBreakBefore w:val="0"/>
        <w:widowControl w:val="0"/>
        <w:numPr>
          <w:ilvl w:val="0"/>
          <w:numId w:val="0"/>
        </w:numPr>
        <w:tabs>
          <w:tab w:val="left" w:pos="1801"/>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1.协助对比分析研究全国和深圳各区相关金融招商举措，根据招商企业对象制定招商思路或措施建议。 </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（一）合法注册的独立法人或非法人组织；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（二）具有良好的商业信誉和财务状况；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（三）无违法违纪的不良记录；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（四）包含财务咨询、投资咨询、商务咨询、经济信息咨询、金融业等相关内容（只需涵盖一项即满足）。</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w:t>
      </w:r>
      <w:r>
        <w:rPr>
          <w:rFonts w:hint="eastAsia" w:ascii="黑体" w:hAnsi="黑体" w:eastAsia="黑体" w:cs="黑体"/>
          <w:sz w:val="32"/>
          <w:szCs w:val="32"/>
        </w:rPr>
        <w:t>报价限额</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highlight w:val="none"/>
          <w:lang w:eastAsia="zh-CN"/>
        </w:rPr>
      </w:pPr>
      <w:r>
        <w:rPr>
          <w:rFonts w:hint="eastAsia" w:ascii="仿宋_GB2312" w:hAnsi="仿宋_GB2312" w:eastAsia="仿宋_GB2312" w:cs="仿宋_GB2312"/>
          <w:sz w:val="32"/>
          <w:szCs w:val="32"/>
          <w:highlight w:val="none"/>
        </w:rPr>
        <w:t>总报价</w:t>
      </w:r>
      <w:r>
        <w:rPr>
          <w:rFonts w:hint="eastAsia" w:ascii="仿宋_GB2312" w:hAnsi="仿宋_GB2312" w:eastAsia="仿宋_GB2312" w:cs="仿宋_GB2312"/>
          <w:sz w:val="32"/>
          <w:szCs w:val="32"/>
          <w:highlight w:val="none"/>
          <w:lang w:val="en-US" w:eastAsia="zh-CN"/>
        </w:rPr>
        <w:t>最高</w:t>
      </w:r>
      <w:r>
        <w:rPr>
          <w:rFonts w:hint="eastAsia" w:ascii="仿宋_GB2312" w:hAnsi="仿宋_GB2312" w:eastAsia="仿宋_GB2312" w:cs="仿宋_GB2312"/>
          <w:sz w:val="32"/>
          <w:szCs w:val="32"/>
          <w:highlight w:val="none"/>
          <w:u w:val="none"/>
          <w:lang w:val="en-US" w:eastAsia="zh-CN"/>
        </w:rPr>
        <w:t>不超过45.6</w:t>
      </w:r>
      <w:r>
        <w:rPr>
          <w:rFonts w:hint="eastAsia" w:ascii="仿宋_GB2312" w:hAnsi="仿宋_GB2312" w:eastAsia="仿宋_GB2312" w:cs="仿宋_GB2312"/>
          <w:kern w:val="2"/>
          <w:sz w:val="32"/>
          <w:szCs w:val="32"/>
          <w:highlight w:val="none"/>
          <w:u w:val="none"/>
          <w:vertAlign w:val="baseline"/>
          <w:lang w:val="en-US" w:eastAsia="zh-CN" w:bidi="ar-SA"/>
        </w:rPr>
        <w:t>万</w:t>
      </w:r>
      <w:r>
        <w:rPr>
          <w:rFonts w:hint="eastAsia" w:ascii="仿宋_GB2312" w:hAnsi="仿宋_GB2312" w:eastAsia="仿宋_GB2312" w:cs="仿宋_GB2312"/>
          <w:sz w:val="32"/>
          <w:szCs w:val="32"/>
          <w:highlight w:val="none"/>
          <w:u w:val="none"/>
        </w:rPr>
        <w:t>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、评分要求</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（一）评分规则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采取综合评分标准，平均分最高的</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人为本项目中标人。</w:t>
      </w:r>
    </w:p>
    <w:p>
      <w:pPr>
        <w:pStyle w:val="11"/>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lang w:eastAsia="zh-CN"/>
        </w:rPr>
        <w:t>（二）</w:t>
      </w:r>
      <w:r>
        <w:rPr>
          <w:rFonts w:hint="eastAsia" w:ascii="楷体" w:hAnsi="楷体" w:eastAsia="楷体" w:cs="楷体"/>
          <w:b w:val="0"/>
          <w:bCs/>
          <w:color w:val="000000"/>
          <w:sz w:val="32"/>
          <w:szCs w:val="32"/>
        </w:rPr>
        <w:t>评分权重</w:t>
      </w:r>
    </w:p>
    <w:tbl>
      <w:tblPr>
        <w:tblStyle w:val="8"/>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评分内容</w:t>
            </w:r>
          </w:p>
        </w:tc>
        <w:tc>
          <w:tcPr>
            <w:tcW w:w="1883"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商务能力</w:t>
            </w:r>
          </w:p>
        </w:tc>
        <w:tc>
          <w:tcPr>
            <w:tcW w:w="1681"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技术能力</w:t>
            </w:r>
          </w:p>
        </w:tc>
        <w:tc>
          <w:tcPr>
            <w:tcW w:w="1724"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人员配备</w:t>
            </w:r>
          </w:p>
        </w:tc>
        <w:tc>
          <w:tcPr>
            <w:tcW w:w="1808"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分值</w:t>
            </w:r>
          </w:p>
        </w:tc>
        <w:tc>
          <w:tcPr>
            <w:tcW w:w="1883"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20分</w:t>
            </w:r>
          </w:p>
        </w:tc>
        <w:tc>
          <w:tcPr>
            <w:tcW w:w="1681"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40</w:t>
            </w:r>
            <w:r>
              <w:rPr>
                <w:rFonts w:hint="eastAsia" w:ascii="仿宋_GB2312" w:hAnsi="仿宋_GB2312" w:eastAsia="仿宋_GB2312" w:cs="仿宋_GB2312"/>
                <w:b w:val="0"/>
                <w:bCs/>
                <w:color w:val="000000"/>
                <w:sz w:val="24"/>
                <w:szCs w:val="24"/>
              </w:rPr>
              <w:t>分</w:t>
            </w:r>
          </w:p>
        </w:tc>
        <w:tc>
          <w:tcPr>
            <w:tcW w:w="1724"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20</w:t>
            </w:r>
            <w:r>
              <w:rPr>
                <w:rFonts w:hint="eastAsia" w:ascii="仿宋_GB2312" w:hAnsi="仿宋_GB2312" w:eastAsia="仿宋_GB2312" w:cs="仿宋_GB2312"/>
                <w:b w:val="0"/>
                <w:bCs/>
                <w:color w:val="000000"/>
                <w:sz w:val="24"/>
                <w:szCs w:val="24"/>
              </w:rPr>
              <w:t>分</w:t>
            </w:r>
          </w:p>
        </w:tc>
        <w:tc>
          <w:tcPr>
            <w:tcW w:w="1808"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20分</w:t>
            </w:r>
          </w:p>
        </w:tc>
      </w:tr>
    </w:tbl>
    <w:p>
      <w:pPr>
        <w:pStyle w:val="11"/>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（三）评分标准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
        </w:rPr>
      </w:pPr>
      <w:r>
        <w:rPr>
          <w:rFonts w:hint="eastAsia" w:ascii="仿宋_GB2312" w:eastAsia="仿宋_GB2312"/>
          <w:color w:val="000000"/>
          <w:sz w:val="32"/>
          <w:szCs w:val="32"/>
          <w:lang w:val="en"/>
        </w:rPr>
        <w:t>1.</w:t>
      </w:r>
      <w:r>
        <w:rPr>
          <w:rFonts w:hint="eastAsia" w:ascii="仿宋_GB2312" w:eastAsia="仿宋_GB2312"/>
          <w:color w:val="000000"/>
          <w:sz w:val="32"/>
          <w:szCs w:val="32"/>
          <w:lang w:val="en" w:eastAsia="zh-CN"/>
        </w:rPr>
        <w:t>商务</w:t>
      </w:r>
      <w:r>
        <w:rPr>
          <w:rFonts w:hint="eastAsia" w:ascii="仿宋_GB2312" w:eastAsia="仿宋_GB2312"/>
          <w:color w:val="000000"/>
          <w:sz w:val="32"/>
          <w:szCs w:val="32"/>
          <w:lang w:val="en"/>
        </w:rPr>
        <w:t>能力</w:t>
      </w:r>
    </w:p>
    <w:tbl>
      <w:tblPr>
        <w:tblStyle w:val="8"/>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198"/>
        <w:gridCol w:w="388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033" w:type="dxa"/>
            <w:gridSpan w:val="3"/>
            <w:noWrap w:val="0"/>
            <w:vAlign w:val="center"/>
          </w:tcPr>
          <w:p>
            <w:pPr>
              <w:keepNext w:val="0"/>
              <w:keepLines w:val="0"/>
              <w:pageBreakBefore w:val="0"/>
              <w:widowControl/>
              <w:kinsoku/>
              <w:wordWrap/>
              <w:overflowPunct/>
              <w:topLinePunct w:val="0"/>
              <w:autoSpaceDE/>
              <w:autoSpaceDN/>
              <w:bidi w:val="0"/>
              <w:spacing w:line="560" w:lineRule="atLeast"/>
              <w:jc w:val="center"/>
              <w:textAlignment w:val="auto"/>
              <w:rPr>
                <w:rFonts w:hint="eastAsia" w:ascii="楷体_GB2312" w:hAnsi="楷体_GB2312" w:eastAsia="楷体_GB2312" w:cs="楷体_GB2312"/>
                <w:bCs/>
                <w:color w:val="000000"/>
                <w:kern w:val="0"/>
                <w:sz w:val="24"/>
                <w:szCs w:val="24"/>
              </w:rPr>
            </w:pPr>
            <w:r>
              <w:rPr>
                <w:rFonts w:hint="eastAsia" w:ascii="楷体_GB2312" w:hAnsi="楷体_GB2312" w:eastAsia="楷体_GB2312" w:cs="楷体_GB2312"/>
                <w:bCs/>
                <w:color w:val="000000"/>
                <w:kern w:val="0"/>
                <w:sz w:val="24"/>
                <w:szCs w:val="24"/>
              </w:rPr>
              <w:t>项目</w:t>
            </w:r>
          </w:p>
        </w:tc>
        <w:tc>
          <w:tcPr>
            <w:tcW w:w="3030" w:type="dxa"/>
            <w:noWrap w:val="0"/>
            <w:vAlign w:val="center"/>
          </w:tcPr>
          <w:p>
            <w:pPr>
              <w:keepNext w:val="0"/>
              <w:keepLines w:val="0"/>
              <w:pageBreakBefore w:val="0"/>
              <w:widowControl/>
              <w:kinsoku/>
              <w:wordWrap/>
              <w:overflowPunct/>
              <w:topLinePunct w:val="0"/>
              <w:autoSpaceDE/>
              <w:autoSpaceDN/>
              <w:bidi w:val="0"/>
              <w:spacing w:line="560" w:lineRule="atLeast"/>
              <w:jc w:val="center"/>
              <w:textAlignment w:val="auto"/>
              <w:rPr>
                <w:rFonts w:hint="eastAsia" w:ascii="楷体_GB2312" w:hAnsi="楷体_GB2312" w:eastAsia="楷体_GB2312" w:cs="楷体_GB2312"/>
                <w:bCs/>
                <w:color w:val="000000"/>
                <w:kern w:val="0"/>
                <w:sz w:val="24"/>
                <w:szCs w:val="24"/>
              </w:rPr>
            </w:pPr>
            <w:r>
              <w:rPr>
                <w:rFonts w:hint="eastAsia" w:ascii="楷体_GB2312" w:hAnsi="楷体_GB2312" w:eastAsia="楷体_GB2312" w:cs="楷体_GB2312"/>
                <w:bCs/>
                <w:color w:val="000000"/>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947" w:type="dxa"/>
            <w:vMerge w:val="restart"/>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监测分析能力</w:t>
            </w:r>
          </w:p>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0分</w:t>
            </w:r>
          </w:p>
        </w:tc>
        <w:tc>
          <w:tcPr>
            <w:tcW w:w="1198" w:type="dxa"/>
            <w:noWrap w:val="0"/>
            <w:vAlign w:val="center"/>
          </w:tcPr>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资质</w:t>
            </w:r>
          </w:p>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分）</w:t>
            </w:r>
          </w:p>
        </w:tc>
        <w:tc>
          <w:tcPr>
            <w:tcW w:w="3888"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提供资质证明得5分。</w:t>
            </w:r>
          </w:p>
        </w:tc>
        <w:tc>
          <w:tcPr>
            <w:tcW w:w="3030"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提供证明复印件并加盖公章</w:t>
            </w:r>
            <w:r>
              <w:rPr>
                <w:rFonts w:hint="eastAsia" w:ascii="仿宋_GB2312" w:hAnsi="仿宋_GB2312" w:eastAsia="仿宋_GB2312" w:cs="仿宋_GB2312"/>
                <w:bCs/>
                <w:color w:val="000000"/>
                <w:sz w:val="24"/>
                <w:szCs w:val="24"/>
                <w:lang w:eastAsia="zh-CN"/>
              </w:rPr>
              <w:t>，提供最近一个月内信用报告</w:t>
            </w:r>
            <w:r>
              <w:rPr>
                <w:rFonts w:hint="eastAsia" w:ascii="仿宋_GB2312" w:hAnsi="仿宋_GB2312" w:eastAsia="仿宋_GB2312" w:cs="仿宋_GB2312"/>
                <w:bCs/>
                <w:color w:val="000000"/>
                <w:sz w:val="24"/>
                <w:szCs w:val="24"/>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947" w:type="dxa"/>
            <w:vMerge w:val="continue"/>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p>
        </w:tc>
        <w:tc>
          <w:tcPr>
            <w:tcW w:w="1198" w:type="dxa"/>
            <w:noWrap w:val="0"/>
            <w:vAlign w:val="center"/>
          </w:tcPr>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经验</w:t>
            </w:r>
          </w:p>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lang w:val="en-US" w:eastAsia="zh-CN"/>
              </w:rPr>
              <w:t>（10</w:t>
            </w:r>
            <w:r>
              <w:rPr>
                <w:rFonts w:hint="eastAsia" w:ascii="仿宋_GB2312" w:hAnsi="仿宋_GB2312" w:eastAsia="仿宋_GB2312" w:cs="仿宋_GB2312"/>
                <w:bCs/>
                <w:color w:val="000000"/>
                <w:sz w:val="24"/>
                <w:szCs w:val="24"/>
              </w:rPr>
              <w:t>分</w:t>
            </w:r>
            <w:r>
              <w:rPr>
                <w:rFonts w:hint="eastAsia" w:ascii="仿宋_GB2312" w:hAnsi="仿宋_GB2312" w:eastAsia="仿宋_GB2312" w:cs="仿宋_GB2312"/>
                <w:bCs/>
                <w:color w:val="000000"/>
                <w:sz w:val="24"/>
                <w:szCs w:val="24"/>
                <w:lang w:val="en-US" w:eastAsia="zh-CN"/>
              </w:rPr>
              <w:t>）</w:t>
            </w:r>
          </w:p>
        </w:tc>
        <w:tc>
          <w:tcPr>
            <w:tcW w:w="3888"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具有相关经验，每提供一项以往类似项目得</w:t>
            </w: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lang w:eastAsia="zh-CN"/>
              </w:rPr>
              <w:t>分、本项最高得分为10分。</w:t>
            </w:r>
          </w:p>
        </w:tc>
        <w:tc>
          <w:tcPr>
            <w:tcW w:w="3030"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947" w:type="dxa"/>
            <w:vMerge w:val="continue"/>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p>
        </w:tc>
        <w:tc>
          <w:tcPr>
            <w:tcW w:w="1198" w:type="dxa"/>
            <w:noWrap w:val="0"/>
            <w:vAlign w:val="center"/>
          </w:tcPr>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信誉</w:t>
            </w:r>
          </w:p>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分）</w:t>
            </w:r>
          </w:p>
        </w:tc>
        <w:tc>
          <w:tcPr>
            <w:tcW w:w="3888"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在业界具有良好的诚信和美誉度。</w:t>
            </w:r>
          </w:p>
          <w:p>
            <w:pPr>
              <w:keepNext w:val="0"/>
              <w:keepLines w:val="0"/>
              <w:pageBreakBefore w:val="0"/>
              <w:kinsoku/>
              <w:wordWrap/>
              <w:overflowPunct/>
              <w:topLinePunct w:val="0"/>
              <w:autoSpaceDE/>
              <w:autoSpaceDN/>
              <w:bidi w:val="0"/>
              <w:spacing w:line="560" w:lineRule="atLeast"/>
              <w:jc w:val="both"/>
              <w:textAlignment w:val="auto"/>
              <w:rPr>
                <w:rFonts w:hint="default" w:ascii="仿宋_GB2312" w:hAnsi="仿宋_GB2312" w:eastAsia="仿宋_GB2312" w:cs="仿宋_GB2312"/>
                <w:bCs/>
                <w:color w:val="000000"/>
                <w:sz w:val="24"/>
                <w:szCs w:val="24"/>
                <w:lang w:val="en-US" w:eastAsia="zh-CN"/>
              </w:rPr>
            </w:pPr>
          </w:p>
        </w:tc>
        <w:tc>
          <w:tcPr>
            <w:tcW w:w="3030"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近三年内无行贿犯罪记录、无不良记录承诺函；</w:t>
            </w:r>
          </w:p>
        </w:tc>
      </w:tr>
    </w:tbl>
    <w:p>
      <w:pPr>
        <w:keepNext w:val="0"/>
        <w:keepLines w:val="0"/>
        <w:pageBreakBefore w:val="0"/>
        <w:numPr>
          <w:ilvl w:val="0"/>
          <w:numId w:val="0"/>
        </w:numPr>
        <w:kinsoku/>
        <w:wordWrap/>
        <w:overflowPunct/>
        <w:topLinePunct w:val="0"/>
        <w:autoSpaceDE/>
        <w:autoSpaceDN/>
        <w:bidi w:val="0"/>
        <w:spacing w:line="560" w:lineRule="atLeast"/>
        <w:ind w:firstLine="480" w:firstLineChars="200"/>
        <w:jc w:val="both"/>
        <w:textAlignment w:val="auto"/>
        <w:rPr>
          <w:rFonts w:hint="eastAsia" w:ascii="仿宋_GB2312" w:eastAsia="仿宋_GB2312"/>
          <w:b/>
          <w:bCs/>
          <w:color w:val="000000"/>
          <w:sz w:val="32"/>
          <w:szCs w:val="32"/>
        </w:rPr>
      </w:pPr>
      <w:r>
        <w:rPr>
          <w:rFonts w:hint="eastAsia" w:ascii="宋体" w:hAnsi="宋体" w:eastAsia="宋体"/>
          <w:bCs/>
          <w:color w:val="000000"/>
          <w:sz w:val="24"/>
        </w:rPr>
        <w:t>注：</w:t>
      </w:r>
      <w:r>
        <w:rPr>
          <w:rFonts w:hint="eastAsia" w:ascii="宋体" w:hAnsi="宋体"/>
          <w:bCs/>
          <w:color w:val="000000"/>
          <w:sz w:val="24"/>
        </w:rPr>
        <w:t>不提供证明文件或提供的证明文件不合格者，不得分。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val="en"/>
        </w:rPr>
        <w:t>2.</w:t>
      </w:r>
      <w:r>
        <w:rPr>
          <w:rFonts w:hint="eastAsia" w:ascii="仿宋_GB2312" w:eastAsia="仿宋_GB2312"/>
          <w:color w:val="000000"/>
          <w:sz w:val="32"/>
          <w:szCs w:val="32"/>
        </w:rPr>
        <w:t>技术能力</w:t>
      </w: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tbl>
      <w:tblPr>
        <w:tblStyle w:val="8"/>
        <w:tblW w:w="9990"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03"/>
        <w:gridCol w:w="5169"/>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557" w:type="dxa"/>
            <w:gridSpan w:val="3"/>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项目</w:t>
            </w:r>
          </w:p>
        </w:tc>
        <w:tc>
          <w:tcPr>
            <w:tcW w:w="243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885"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技术能力评分</w:t>
            </w:r>
            <w:r>
              <w:rPr>
                <w:rFonts w:hint="eastAsia" w:ascii="仿宋_GB2312" w:hAnsi="仿宋_GB2312" w:eastAsia="仿宋_GB2312" w:cs="仿宋_GB2312"/>
                <w:bCs/>
                <w:color w:val="000000"/>
                <w:sz w:val="24"/>
                <w:szCs w:val="24"/>
                <w:lang w:val="en-US" w:eastAsia="zh-CN"/>
              </w:rPr>
              <w:t>4</w:t>
            </w:r>
            <w:r>
              <w:rPr>
                <w:rFonts w:hint="eastAsia" w:ascii="仿宋_GB2312" w:hAnsi="仿宋_GB2312" w:eastAsia="仿宋_GB2312" w:cs="仿宋_GB2312"/>
                <w:bCs/>
                <w:color w:val="000000"/>
                <w:sz w:val="24"/>
                <w:szCs w:val="24"/>
              </w:rPr>
              <w:t>0分</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lang w:eastAsia="zh-CN"/>
              </w:rPr>
              <w:t>服务方案</w:t>
            </w: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val="en-US" w:eastAsia="zh-CN"/>
              </w:rPr>
              <w:t>20</w:t>
            </w:r>
            <w:r>
              <w:rPr>
                <w:rFonts w:hint="eastAsia" w:ascii="仿宋_GB2312" w:hAnsi="仿宋_GB2312" w:eastAsia="仿宋_GB2312" w:cs="仿宋_GB2312"/>
                <w:bCs/>
                <w:color w:val="000000"/>
                <w:sz w:val="24"/>
                <w:szCs w:val="24"/>
              </w:rPr>
              <w:t>分）</w:t>
            </w:r>
          </w:p>
        </w:tc>
        <w:tc>
          <w:tcPr>
            <w:tcW w:w="51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项目方案（包括但不限于工作措施、工作方法、工作手段、工作流程等）根据文件对需求和响应情况进行横向比较。分档评分：评价为优得15-20分；评价为良得10-15分；评价为差得5-10分。</w:t>
            </w:r>
          </w:p>
        </w:tc>
        <w:tc>
          <w:tcPr>
            <w:tcW w:w="24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88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szCs w:val="24"/>
              </w:rPr>
            </w:pP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重难点分析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0</w:t>
            </w:r>
            <w:r>
              <w:rPr>
                <w:rFonts w:hint="eastAsia" w:ascii="仿宋_GB2312" w:hAnsi="仿宋_GB2312" w:eastAsia="仿宋_GB2312" w:cs="仿宋_GB2312"/>
                <w:bCs/>
                <w:color w:val="000000"/>
                <w:sz w:val="24"/>
                <w:szCs w:val="24"/>
              </w:rPr>
              <w:t>分）</w:t>
            </w:r>
          </w:p>
        </w:tc>
        <w:tc>
          <w:tcPr>
            <w:tcW w:w="51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项目重点难点分析、应对措施及相关的合理化建议，满分1</w:t>
            </w:r>
            <w:r>
              <w:rPr>
                <w:rFonts w:hint="eastAsia" w:ascii="仿宋_GB2312" w:hAnsi="仿宋_GB2312" w:eastAsia="仿宋_GB2312" w:cs="仿宋_GB2312"/>
                <w:bCs/>
                <w:color w:val="000000"/>
                <w:sz w:val="24"/>
                <w:szCs w:val="24"/>
                <w:lang w:val="en-US" w:eastAsia="zh-CN"/>
              </w:rPr>
              <w:t>0</w:t>
            </w:r>
            <w:r>
              <w:rPr>
                <w:rFonts w:hint="eastAsia" w:ascii="仿宋_GB2312" w:hAnsi="仿宋_GB2312" w:eastAsia="仿宋_GB2312" w:cs="仿宋_GB2312"/>
                <w:bCs/>
                <w:color w:val="000000"/>
                <w:sz w:val="24"/>
                <w:szCs w:val="24"/>
              </w:rPr>
              <w:t>分。</w:t>
            </w:r>
          </w:p>
        </w:tc>
        <w:tc>
          <w:tcPr>
            <w:tcW w:w="24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88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szCs w:val="24"/>
              </w:rPr>
            </w:pP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（10分）</w:t>
            </w:r>
          </w:p>
        </w:tc>
        <w:tc>
          <w:tcPr>
            <w:tcW w:w="51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rPr>
              <w:t>项目完成后的服务承诺和违约承诺</w:t>
            </w:r>
            <w:r>
              <w:rPr>
                <w:rFonts w:hint="eastAsia" w:ascii="仿宋_GB2312" w:hAnsi="仿宋_GB2312" w:eastAsia="仿宋_GB2312" w:cs="仿宋_GB2312"/>
                <w:bCs/>
                <w:color w:val="000000"/>
                <w:sz w:val="24"/>
                <w:szCs w:val="24"/>
              </w:rPr>
              <w:t>，满分10分。</w:t>
            </w:r>
          </w:p>
        </w:tc>
        <w:tc>
          <w:tcPr>
            <w:tcW w:w="24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3.人员配备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采购评审小组根据项目要求对项目负责人和项目团队人员配备进行综合评价，满分</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分（安排</w:t>
      </w:r>
      <w:r>
        <w:rPr>
          <w:rFonts w:hint="default" w:ascii="仿宋_GB2312" w:eastAsia="仿宋_GB2312"/>
          <w:color w:val="000000"/>
          <w:sz w:val="32"/>
          <w:szCs w:val="32"/>
          <w:lang w:val="en" w:eastAsia="zh-CN"/>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名</w:t>
      </w:r>
      <w:r>
        <w:rPr>
          <w:rFonts w:hint="default" w:ascii="仿宋_GB2312" w:eastAsia="仿宋_GB2312"/>
          <w:color w:val="000000"/>
          <w:sz w:val="32"/>
          <w:szCs w:val="32"/>
          <w:lang w:val="en" w:eastAsia="zh-CN"/>
        </w:rPr>
        <w:t>两</w:t>
      </w:r>
      <w:r>
        <w:rPr>
          <w:rFonts w:hint="eastAsia" w:ascii="仿宋_GB2312" w:eastAsia="仿宋_GB2312"/>
          <w:color w:val="000000"/>
          <w:sz w:val="32"/>
          <w:szCs w:val="32"/>
          <w:lang w:eastAsia="zh-CN"/>
        </w:rPr>
        <w:t>年及以上经验人</w:t>
      </w:r>
      <w:r>
        <w:rPr>
          <w:rFonts w:hint="eastAsia" w:ascii="仿宋_GB2312" w:eastAsia="仿宋_GB2312"/>
          <w:color w:val="000000"/>
          <w:sz w:val="32"/>
          <w:szCs w:val="32"/>
        </w:rPr>
        <w:t>员得</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分，安排</w:t>
      </w:r>
      <w:r>
        <w:rPr>
          <w:rFonts w:hint="default" w:ascii="仿宋_GB2312" w:eastAsia="仿宋_GB2312"/>
          <w:color w:val="000000"/>
          <w:sz w:val="32"/>
          <w:szCs w:val="32"/>
          <w:lang w:val="en" w:eastAsia="zh-CN"/>
        </w:rPr>
        <w:t>1</w:t>
      </w:r>
      <w:r>
        <w:rPr>
          <w:rFonts w:hint="eastAsia" w:ascii="仿宋_GB2312" w:eastAsia="仿宋_GB2312"/>
          <w:color w:val="000000"/>
          <w:sz w:val="32"/>
          <w:szCs w:val="32"/>
        </w:rPr>
        <w:t>名</w:t>
      </w:r>
      <w:r>
        <w:rPr>
          <w:rFonts w:hint="default" w:ascii="仿宋_GB2312" w:eastAsia="仿宋_GB2312"/>
          <w:color w:val="000000"/>
          <w:sz w:val="32"/>
          <w:szCs w:val="32"/>
          <w:lang w:val="en" w:eastAsia="zh-CN"/>
        </w:rPr>
        <w:t>一</w:t>
      </w:r>
      <w:r>
        <w:rPr>
          <w:rFonts w:hint="eastAsia" w:ascii="仿宋_GB2312" w:eastAsia="仿宋_GB2312"/>
          <w:color w:val="000000"/>
          <w:sz w:val="32"/>
          <w:szCs w:val="32"/>
          <w:lang w:eastAsia="zh-CN"/>
        </w:rPr>
        <w:t>年及以上经验人</w:t>
      </w:r>
      <w:r>
        <w:rPr>
          <w:rFonts w:hint="eastAsia" w:ascii="仿宋_GB2312" w:eastAsia="仿宋_GB2312"/>
          <w:color w:val="000000"/>
          <w:sz w:val="32"/>
          <w:szCs w:val="32"/>
        </w:rPr>
        <w:t>员得</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以本次</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人所报的有效报价中的最低价作为基准报价。投标人报价得分=（基准价/投标人报价）*20分。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（四）</w:t>
      </w:r>
      <w:r>
        <w:rPr>
          <w:rFonts w:hint="eastAsia" w:ascii="楷体" w:hAnsi="楷体" w:eastAsia="楷体" w:cs="楷体"/>
          <w:color w:val="000000"/>
          <w:sz w:val="32"/>
          <w:szCs w:val="32"/>
        </w:rPr>
        <w:t>采购评审小组构成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hAnsi="仿宋" w:eastAsia="仿宋_GB2312"/>
          <w:sz w:val="32"/>
        </w:rPr>
        <w:t>采购评审小组为五人及以上的单数</w:t>
      </w:r>
      <w:r>
        <w:rPr>
          <w:rFonts w:hint="eastAsia" w:ascii="仿宋_GB2312" w:eastAsia="仿宋_GB2312"/>
          <w:color w:val="000000"/>
          <w:sz w:val="32"/>
          <w:szCs w:val="32"/>
        </w:rPr>
        <w:t>，构成如下：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Calibri" w:eastAsia="仿宋_GB2312"/>
          <w:color w:val="000000"/>
          <w:sz w:val="32"/>
          <w:szCs w:val="32"/>
          <w:lang w:eastAsia="zh-CN"/>
        </w:rPr>
        <w:t>在</w:t>
      </w:r>
      <w:r>
        <w:rPr>
          <w:rFonts w:hint="eastAsia" w:ascii="仿宋_GB2312" w:hAnsi="Calibri" w:eastAsia="仿宋_GB2312"/>
          <w:color w:val="000000"/>
          <w:sz w:val="32"/>
          <w:szCs w:val="32"/>
        </w:rPr>
        <w:t>龙华区工业和信息化局各科室（中心）代表（在编人员）</w:t>
      </w:r>
      <w:r>
        <w:rPr>
          <w:rFonts w:hint="eastAsia" w:ascii="仿宋_GB2312" w:hAnsi="Calibri" w:eastAsia="仿宋_GB2312"/>
          <w:color w:val="000000"/>
          <w:sz w:val="32"/>
          <w:szCs w:val="32"/>
          <w:lang w:val="en-US" w:eastAsia="zh-CN"/>
        </w:rPr>
        <w:t>5人，</w:t>
      </w:r>
      <w:r>
        <w:rPr>
          <w:rFonts w:hint="eastAsia" w:ascii="仿宋_GB2312" w:eastAsia="仿宋_GB2312"/>
          <w:color w:val="000000"/>
          <w:sz w:val="32"/>
          <w:szCs w:val="32"/>
        </w:rPr>
        <w:t>随机抽签选择。</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等线 Light">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5B22E"/>
    <w:multiLevelType w:val="singleLevel"/>
    <w:tmpl w:val="EF75B22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DF0A2"/>
    <w:rsid w:val="1FEBDA75"/>
    <w:rsid w:val="22DFAF31"/>
    <w:rsid w:val="5FBFDFAF"/>
    <w:rsid w:val="5FEFACC7"/>
    <w:rsid w:val="5FFD6461"/>
    <w:rsid w:val="6F733A02"/>
    <w:rsid w:val="757B4365"/>
    <w:rsid w:val="7EF6F419"/>
    <w:rsid w:val="7F7F329D"/>
    <w:rsid w:val="97776C6E"/>
    <w:rsid w:val="DDFF39D5"/>
    <w:rsid w:val="DF3CDD89"/>
    <w:rsid w:val="DFDEE963"/>
    <w:rsid w:val="EA6FAAE6"/>
    <w:rsid w:val="EEDA1B7A"/>
    <w:rsid w:val="EFFDF0A2"/>
    <w:rsid w:val="F46B716F"/>
    <w:rsid w:val="F4BFA261"/>
    <w:rsid w:val="F5F0A95D"/>
    <w:rsid w:val="F7FBD205"/>
    <w:rsid w:val="FA6F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szCs w:val="24"/>
    </w:rPr>
  </w:style>
  <w:style w:type="paragraph" w:styleId="3">
    <w:name w:val="Body Text"/>
    <w:basedOn w:val="1"/>
    <w:next w:val="4"/>
    <w:qFormat/>
    <w:uiPriority w:val="0"/>
    <w:pPr>
      <w:spacing w:after="120"/>
    </w:pPr>
    <w:rPr>
      <w:rFonts w:ascii="Times New Roman" w:hAnsi="Times New Roman"/>
      <w:sz w:val="21"/>
      <w:szCs w:val="20"/>
    </w:rPr>
  </w:style>
  <w:style w:type="paragraph" w:customStyle="1" w:styleId="4">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5">
    <w:name w:val="Block Text"/>
    <w:basedOn w:val="1"/>
    <w:qFormat/>
    <w:uiPriority w:val="0"/>
    <w:pPr>
      <w:tabs>
        <w:tab w:val="left" w:pos="426"/>
      </w:tabs>
      <w:spacing w:after="120"/>
      <w:ind w:left="1440" w:leftChars="700" w:right="1440" w:rightChars="7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customStyle="1" w:styleId="10">
    <w:name w:val="样式 首行缩进:  2 字符"/>
    <w:basedOn w:val="1"/>
    <w:qFormat/>
    <w:uiPriority w:val="0"/>
    <w:pPr>
      <w:widowControl/>
      <w:spacing w:line="360" w:lineRule="auto"/>
      <w:ind w:firstLine="480" w:firstLineChars="200"/>
    </w:pPr>
    <w:rPr>
      <w:rFonts w:ascii="Arial" w:hAnsi="Arial" w:cs="宋体"/>
      <w:sz w:val="28"/>
      <w:szCs w:val="28"/>
    </w:rPr>
  </w:style>
  <w:style w:type="paragraph" w:customStyle="1" w:styleId="11">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2023-10-12T14:40:00Z</dcterms:created>
  <dc:creator>张一鸣</dc:creator>
  <cp:lastModifiedBy>longhua</cp:lastModifiedBy>
  <cp:lastPrinted>2023-11-27T20:30:00Z</cp:lastPrinted>
  <dcterms:modified xsi:type="dcterms:W3CDTF">2023-11-29T16:15:20Z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7BE79834B75D44A5E84E2265D1B1CD91</vt:lpwstr>
  </property>
</Properties>
</file>