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ageBreakBefore w:val="0"/>
        <w:kinsoku/>
        <w:overflowPunct/>
        <w:topLinePunct w:val="0"/>
        <w:bidi w:val="0"/>
        <w:snapToGrid w:val="0"/>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附件</w:t>
      </w:r>
      <w:r>
        <w:rPr>
          <w:rFonts w:hint="eastAsia" w:ascii="仿宋_GB2312" w:eastAsia="仿宋_GB2312" w:cs="仿宋_GB2312"/>
          <w:sz w:val="32"/>
          <w:szCs w:val="32"/>
          <w:highlight w:val="none"/>
          <w:lang w:val="en-US" w:eastAsia="zh-CN"/>
        </w:rPr>
        <w:t>4</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kinsoku/>
        <w:overflowPunct/>
        <w:topLinePunct w:val="0"/>
        <w:bidi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5</w:t>
      </w:r>
      <w:r>
        <w:rPr>
          <w:rFonts w:hint="eastAsia" w:ascii="宋体" w:hAnsi="宋体" w:cs="宋体"/>
          <w:b/>
          <w:bCs/>
          <w:sz w:val="44"/>
          <w:szCs w:val="44"/>
          <w:highlight w:val="none"/>
        </w:rPr>
        <w:t>年深圳市工程建设领域绿色创新发展</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专项资金扶持计划（高星级绿色建筑</w:t>
      </w:r>
    </w:p>
    <w:p>
      <w:pPr>
        <w:pageBreakBefore w:val="0"/>
        <w:kinsoku/>
        <w:overflowPunct/>
        <w:topLinePunct w:val="0"/>
        <w:bidi w:val="0"/>
        <w:spacing w:line="560" w:lineRule="exact"/>
        <w:jc w:val="center"/>
        <w:rPr>
          <w:rFonts w:ascii="楷体" w:hAnsi="楷体" w:eastAsia="楷体" w:cs="楷体"/>
          <w:b/>
          <w:bCs/>
          <w:color w:val="FF0000"/>
          <w:sz w:val="36"/>
          <w:szCs w:val="36"/>
          <w:highlight w:val="none"/>
        </w:rPr>
      </w:pPr>
      <w:r>
        <w:rPr>
          <w:rFonts w:hint="eastAsia" w:ascii="宋体" w:hAnsi="宋体" w:cs="宋体"/>
          <w:b/>
          <w:bCs/>
          <w:sz w:val="44"/>
          <w:szCs w:val="44"/>
          <w:highlight w:val="none"/>
        </w:rPr>
        <w:t>示范项目）申报指南</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ageBreakBefore w:val="0"/>
        <w:kinsoku/>
        <w:overflowPunct/>
        <w:topLinePunct w:val="0"/>
        <w:bidi w:val="0"/>
        <w:spacing w:line="560" w:lineRule="exact"/>
        <w:ind w:firstLine="640" w:firstLineChars="200"/>
        <w:rPr>
          <w:rFonts w:ascii="仿宋_GB2312" w:eastAsia="仿宋_GB2312"/>
          <w:sz w:val="32"/>
          <w:szCs w:val="32"/>
          <w:highlight w:val="none"/>
        </w:rPr>
      </w:pPr>
      <w:r>
        <w:rPr>
          <w:rFonts w:hint="eastAsia" w:ascii="仿宋_GB2312" w:hAnsi="仿宋_GB2312" w:eastAsia="仿宋_GB2312"/>
          <w:sz w:val="32"/>
          <w:highlight w:val="none"/>
        </w:rPr>
        <w:t>项目建设单位或业主单位牵头，与设计单位、施工单位等联合体。</w:t>
      </w:r>
    </w:p>
    <w:p>
      <w:pPr>
        <w:pageBreakBefore w:val="0"/>
        <w:widowControl/>
        <w:kinsoku/>
        <w:overflowPunct/>
        <w:topLinePunct w:val="0"/>
        <w:bidi w:val="0"/>
        <w:spacing w:line="560" w:lineRule="exact"/>
        <w:ind w:left="741"/>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bidi w:val="0"/>
        <w:spacing w:line="560" w:lineRule="exact"/>
        <w:ind w:firstLine="640" w:firstLineChars="200"/>
        <w:jc w:val="left"/>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（一）申报单位应符合以下条件：</w:t>
      </w:r>
    </w:p>
    <w:p>
      <w:pPr>
        <w:pageBreakBefore w:val="0"/>
        <w:kinsoku/>
        <w:overflowPunct/>
        <w:topLinePunct w:val="0"/>
        <w:bidi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在中国国内注册，具备独立法人资格的企事业单位或其他社会组织；</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具备健全的财务核算和管理体系，正常经营满1年以上。</w:t>
      </w:r>
    </w:p>
    <w:p>
      <w:pPr>
        <w:pageBreakBefore w:val="0"/>
        <w:kinsoku/>
        <w:overflowPunct/>
        <w:topLinePunct w:val="0"/>
        <w:bidi w:val="0"/>
        <w:spacing w:line="560" w:lineRule="exact"/>
        <w:ind w:firstLine="640" w:firstLineChars="200"/>
        <w:jc w:val="left"/>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（二）申报项目应符合以下条件：</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1.必须为深圳市行政区域（含深汕合作区）实施的工程建设项目；</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执行《绿色建筑评价标准》（GB/T50378）、《绿色工业建筑评价标准》（GB/T50878）、《既有建筑绿色改造评价标准》（GBT51141）并获评二星级及以上绿色建筑评价标识，或执行《绿色建筑评价标准》（SJG47-2018）并获得金级及以上绿色建筑评价标识。获得标识的时间应在2</w:t>
      </w:r>
      <w:r>
        <w:rPr>
          <w:rFonts w:ascii="仿宋_GB2312" w:eastAsia="仿宋_GB2312"/>
          <w:sz w:val="32"/>
          <w:szCs w:val="32"/>
          <w:highlight w:val="none"/>
        </w:rPr>
        <w:t>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ascii="仿宋_GB2312" w:eastAsia="仿宋_GB2312"/>
          <w:sz w:val="32"/>
          <w:szCs w:val="32"/>
          <w:highlight w:val="none"/>
        </w:rPr>
        <w:t>4</w:t>
      </w:r>
      <w:r>
        <w:rPr>
          <w:rFonts w:hint="eastAsia" w:ascii="仿宋_GB2312" w:eastAsia="仿宋_GB2312"/>
          <w:sz w:val="32"/>
          <w:szCs w:val="32"/>
          <w:highlight w:val="none"/>
        </w:rPr>
        <w:t>月1日后，仅获得绿色建筑设计标识项目不纳入申报范围</w:t>
      </w:r>
      <w:r>
        <w:rPr>
          <w:rFonts w:hint="eastAsia" w:ascii="仿宋_GB2312" w:eastAsia="仿宋_GB2312"/>
          <w:sz w:val="32"/>
          <w:szCs w:val="32"/>
          <w:highlight w:val="none"/>
          <w:lang w:eastAsia="zh-CN"/>
        </w:rPr>
        <w:t>；</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3.必须符合国家产业政策和工程建设行业发展方向，能够促进工程建设领域绿色创新发展，具有较好的社会、环境和经济效益，能够发挥良好示范意义和较强带动作用；</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sz w:val="32"/>
          <w:szCs w:val="32"/>
          <w:highlight w:val="none"/>
        </w:rPr>
        <w:t>公共建筑项目应当安装用电等能耗分项计量装置和建筑能耗实时监测设备，并将监测数据实时传输至深圳市建筑能耗监测平台数据中心并取得确认文件。</w:t>
      </w:r>
    </w:p>
    <w:p>
      <w:pPr>
        <w:pageBreakBefore w:val="0"/>
        <w:kinsoku/>
        <w:overflowPunct/>
        <w:topLinePunct w:val="0"/>
        <w:bidi w:val="0"/>
        <w:spacing w:line="560" w:lineRule="exact"/>
        <w:ind w:firstLine="640" w:firstLineChars="200"/>
        <w:rPr>
          <w:rFonts w:hint="eastAsia" w:ascii="仿宋_GB2312" w:eastAsia="仿宋_GB2312"/>
          <w:b/>
          <w:bCs/>
          <w:color w:val="000000"/>
          <w:sz w:val="32"/>
          <w:szCs w:val="32"/>
          <w:highlight w:val="none"/>
        </w:rPr>
      </w:pPr>
      <w:r>
        <w:rPr>
          <w:rFonts w:hint="eastAsia" w:ascii="仿宋_GB2312" w:eastAsia="仿宋_GB2312"/>
          <w:b/>
          <w:bCs/>
          <w:color w:val="000000"/>
          <w:sz w:val="32"/>
          <w:szCs w:val="32"/>
          <w:highlight w:val="none"/>
        </w:rPr>
        <w:t>（三）</w:t>
      </w:r>
      <w:r>
        <w:rPr>
          <w:rFonts w:hint="eastAsia" w:ascii="仿宋_GB2312" w:eastAsia="仿宋_GB2312"/>
          <w:b/>
          <w:bCs/>
          <w:sz w:val="32"/>
          <w:szCs w:val="32"/>
          <w:highlight w:val="none"/>
        </w:rPr>
        <w:t>按照《深圳市工程建设领域绿色创新发展专项资金管理办法》相关规定，申报单位存在下列情形之一的，不予扶持：</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ascii="仿宋_GB2312" w:eastAsia="仿宋_GB2312"/>
          <w:b w:val="0"/>
          <w:bCs w:val="0"/>
          <w:sz w:val="32"/>
          <w:szCs w:val="32"/>
          <w:highlight w:val="none"/>
        </w:rPr>
        <w:t>1.</w:t>
      </w:r>
      <w:r>
        <w:rPr>
          <w:rFonts w:hint="eastAsia" w:ascii="仿宋_GB2312" w:eastAsia="仿宋_GB2312"/>
          <w:sz w:val="32"/>
          <w:szCs w:val="32"/>
          <w:highlight w:val="none"/>
        </w:rPr>
        <w:t>所提供的材料不真实、不完整，存在弄虚作假、套取、骗取专项资金情形的；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2.存在以同一事项重复申报或多头申报市级财政专项资金的；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3.申报项目获得的绿色建筑评价标识超过</w:t>
      </w:r>
      <w:r>
        <w:rPr>
          <w:rFonts w:ascii="仿宋_GB2312" w:eastAsia="仿宋_GB2312"/>
          <w:sz w:val="32"/>
          <w:szCs w:val="32"/>
          <w:highlight w:val="none"/>
        </w:rPr>
        <w:t>3</w:t>
      </w:r>
      <w:r>
        <w:rPr>
          <w:rFonts w:hint="eastAsia" w:ascii="仿宋_GB2312" w:eastAsia="仿宋_GB2312"/>
          <w:sz w:val="32"/>
          <w:szCs w:val="32"/>
          <w:highlight w:val="none"/>
        </w:rPr>
        <w:t>年的；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4.按照联合惩戒政策和制度规定，被依法列入失信联合惩戒名单的；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5.被监管部门责令限期拆除违法建筑但拒不拆除或逾期不拆除的；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6.发生较大及以上安全生产事故未满3年的；发生一般安全生产事故未满1年的；</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sz w:val="32"/>
          <w:szCs w:val="32"/>
          <w:highlight w:val="none"/>
        </w:rPr>
        <w:t>7.存在法律、法规和规章明确规定不予资助的其他情形的。</w:t>
      </w:r>
    </w:p>
    <w:p>
      <w:pPr>
        <w:pageBreakBefore w:val="0"/>
        <w:widowControl/>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必须提交的申报材料：</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1.深圳市工程建设</w:t>
      </w:r>
      <w:r>
        <w:rPr>
          <w:rFonts w:hint="eastAsia" w:ascii="仿宋_GB2312" w:eastAsia="仿宋_GB2312"/>
          <w:sz w:val="32"/>
          <w:szCs w:val="32"/>
          <w:highlight w:val="none"/>
        </w:rPr>
        <w:t>领域绿色创新发展</w:t>
      </w:r>
      <w:r>
        <w:rPr>
          <w:rFonts w:hint="eastAsia" w:ascii="仿宋_GB2312" w:eastAsia="仿宋_GB2312"/>
          <w:color w:val="000000"/>
          <w:sz w:val="32"/>
          <w:szCs w:val="32"/>
          <w:highlight w:val="none"/>
        </w:rPr>
        <w:t>专项资金扶持计划项目申报书（附录1</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项目申报书在线填写，填写后预览下载再签字</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2.法人证书；</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3.法定代表人证明书及身份证、法人授权委托书及授权委托人身份证；</w:t>
      </w:r>
    </w:p>
    <w:p>
      <w:pPr>
        <w:pageBreakBefore w:val="0"/>
        <w:widowControl/>
        <w:kinsoku/>
        <w:overflowPunct/>
        <w:topLinePunct w:val="0"/>
        <w:bidi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4.投资项目备案、工程规划许可、建设工程竣工验收备案的证明材料复印件；</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color w:val="000000"/>
          <w:sz w:val="32"/>
          <w:szCs w:val="32"/>
          <w:highlight w:val="none"/>
        </w:rPr>
        <w:t>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绿色建筑评价标识证书（由市外评价机构评定的项目，需提供全套评价资料）；</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6.公共建筑项目需提交分项能耗数据接入深圳市建筑能耗监测平台数据中心的证明文件；</w:t>
      </w:r>
    </w:p>
    <w:p>
      <w:pPr>
        <w:pageBreakBefore w:val="0"/>
        <w:widowControl/>
        <w:kinsoku/>
        <w:overflowPunct/>
        <w:topLinePunct w:val="0"/>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项目的示范观摩方案，包含组织方案、项目观摩路线及沿途亮点内容介绍词；</w:t>
      </w:r>
    </w:p>
    <w:p>
      <w:pPr>
        <w:pageBreakBefore w:val="0"/>
        <w:widowControl/>
        <w:kinsoku/>
        <w:overflowPunct/>
        <w:topLinePunct w:val="0"/>
        <w:bidi w:val="0"/>
        <w:snapToGrid w:val="0"/>
        <w:spacing w:line="560" w:lineRule="exact"/>
        <w:ind w:firstLine="640" w:firstLineChars="200"/>
        <w:rPr>
          <w:rFonts w:hint="eastAsia" w:ascii="仿宋_GB2312" w:eastAsia="仿宋_GB2312"/>
          <w:color w:val="000000"/>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w:t>
      </w:r>
      <w:r>
        <w:rPr>
          <w:rFonts w:hint="eastAsia" w:ascii="仿宋_GB2312" w:eastAsia="仿宋_GB2312"/>
          <w:color w:val="000000"/>
          <w:sz w:val="32"/>
          <w:szCs w:val="32"/>
          <w:highlight w:val="none"/>
        </w:rPr>
        <w:t>项目专项财务审计报告（附录2，其中必须列明建安工程费用与设备总额）。</w:t>
      </w:r>
    </w:p>
    <w:p>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结合项目实际情况选择提交的申报材料：</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1.项目承办观摩交流活动证明材料；</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2.项目获得荣誉证明材料（各类省级以上奖项及专利、工法等）；</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项目采用绿色金融的相关证明材料；</w:t>
      </w:r>
    </w:p>
    <w:p>
      <w:pPr>
        <w:pStyle w:val="28"/>
        <w:pageBreakBefore w:val="0"/>
        <w:kinsoku/>
        <w:overflowPunct/>
        <w:topLinePunct w:val="0"/>
        <w:bidi w:val="0"/>
        <w:spacing w:line="560" w:lineRule="exact"/>
        <w:ind w:firstLine="640" w:firstLineChars="0"/>
        <w:rPr>
          <w:rFonts w:ascii="仿宋_GB2312" w:eastAsia="仿宋_GB2312"/>
          <w:color w:val="000000"/>
          <w:sz w:val="32"/>
          <w:szCs w:val="32"/>
          <w:highlight w:val="none"/>
        </w:rPr>
      </w:pPr>
      <w:r>
        <w:rPr>
          <w:rFonts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rPr>
        <w:t>.其他按规定需要提供的</w:t>
      </w:r>
      <w:r>
        <w:rPr>
          <w:rFonts w:hint="eastAsia" w:ascii="仿宋_GB2312" w:eastAsia="仿宋_GB2312"/>
          <w:color w:val="000000"/>
          <w:sz w:val="32"/>
          <w:szCs w:val="32"/>
          <w:highlight w:val="none"/>
        </w:rPr>
        <w:t>材料。</w:t>
      </w:r>
    </w:p>
    <w:p>
      <w:pPr>
        <w:pageBreakBefore w:val="0"/>
        <w:kinsoku/>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kinsoku/>
        <w:overflowPunct/>
        <w:topLinePunct w:val="0"/>
        <w:autoSpaceDN w:val="0"/>
        <w:bidi w:val="0"/>
        <w:snapToGrid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26"/>
        <w:keepNext w:val="0"/>
        <w:keepLines w:val="0"/>
        <w:pageBreakBefore w:val="0"/>
        <w:widowControl/>
        <w:kinsoku/>
        <w:overflowPunct/>
        <w:topLinePunct w:val="0"/>
        <w:bidi w:val="0"/>
        <w:snapToGrid w:val="0"/>
        <w:spacing w:line="56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sz w:val="32"/>
          <w:szCs w:val="32"/>
          <w:highlight w:val="none"/>
          <w:lang w:eastAsia="zh-CN"/>
        </w:rPr>
        <w:t>（域名：https://cqt.szfb.sz.gov.cn）</w:t>
      </w:r>
      <w:r>
        <w:rPr>
          <w:rFonts w:hint="eastAsia" w:ascii="仿宋_GB2312" w:eastAsia="仿宋_GB2312" w:cs="仿宋_GB2312"/>
          <w:sz w:val="32"/>
          <w:szCs w:val="32"/>
          <w:highlight w:val="none"/>
        </w:rPr>
        <w:t>进行申报</w:t>
      </w:r>
      <w:r>
        <w:rPr>
          <w:rFonts w:hint="eastAsia" w:ascii="仿宋_GB2312" w:eastAsia="仿宋_GB2312" w:cs="仿宋_GB2312"/>
          <w:sz w:val="32"/>
          <w:szCs w:val="32"/>
          <w:highlight w:val="none"/>
          <w:lang w:eastAsia="zh-CN"/>
        </w:rPr>
        <w:t>，由“</w:t>
      </w:r>
      <w:r>
        <w:rPr>
          <w:rFonts w:hint="eastAsia" w:ascii="仿宋_GB2312" w:eastAsia="仿宋_GB2312" w:cs="仿宋_GB2312"/>
          <w:sz w:val="32"/>
          <w:szCs w:val="32"/>
          <w:highlight w:val="none"/>
        </w:rPr>
        <w:t>深圳市住房和建设局</w:t>
      </w:r>
      <w:r>
        <w:rPr>
          <w:rFonts w:hint="eastAsia" w:ascii="仿宋" w:hAnsi="仿宋" w:eastAsia="仿宋" w:cs="仿宋"/>
          <w:sz w:val="32"/>
          <w:szCs w:val="32"/>
          <w:highlight w:val="none"/>
        </w:rPr>
        <w:t>”进入</w:t>
      </w: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5</w:t>
      </w:r>
      <w:r>
        <w:rPr>
          <w:rFonts w:hint="eastAsia" w:ascii="仿宋_GB2312" w:eastAsia="仿宋_GB2312" w:cs="仿宋_GB2312"/>
          <w:sz w:val="32"/>
          <w:szCs w:val="32"/>
          <w:highlight w:val="none"/>
        </w:rPr>
        <w:t>年市工程建设领域绿色创新发展专项资金扶持计划”，具体填写流程可查看办事指南相关</w:t>
      </w:r>
      <w:r>
        <w:rPr>
          <w:rFonts w:hint="eastAsia" w:ascii="仿宋_GB2312" w:eastAsia="仿宋_GB2312" w:cs="仿宋_GB2312"/>
          <w:color w:val="000000"/>
          <w:sz w:val="32"/>
          <w:szCs w:val="32"/>
          <w:highlight w:val="none"/>
        </w:rPr>
        <w:t>要求。填报前请仔细阅读申报指南相关要求，若填报事项与申报指南要求不符，申请不予通过。</w:t>
      </w:r>
    </w:p>
    <w:p>
      <w:pPr>
        <w:keepNext w:val="0"/>
        <w:keepLines w:val="0"/>
        <w:pageBreakBefore w:val="0"/>
        <w:widowControl/>
        <w:kinsoku/>
        <w:overflowPunct/>
        <w:topLinePunct w:val="0"/>
        <w:bidi w:val="0"/>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（二）申报单位网上填写完成后，</w:t>
      </w:r>
      <w:r>
        <w:rPr>
          <w:rFonts w:hint="eastAsia" w:ascii="仿宋_GB2312" w:eastAsia="仿宋_GB2312" w:cs="仿宋_GB2312"/>
          <w:color w:val="auto"/>
          <w:sz w:val="32"/>
          <w:szCs w:val="32"/>
          <w:highlight w:val="none"/>
          <w:lang w:eastAsia="zh-CN"/>
        </w:rPr>
        <w:t>可</w:t>
      </w:r>
      <w:r>
        <w:rPr>
          <w:rFonts w:hint="eastAsia" w:ascii="仿宋_GB2312" w:eastAsia="仿宋_GB2312" w:cs="仿宋_GB2312"/>
          <w:color w:val="auto"/>
          <w:sz w:val="32"/>
          <w:szCs w:val="32"/>
          <w:highlight w:val="none"/>
        </w:rPr>
        <w:t>进入</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color w:val="auto"/>
          <w:sz w:val="32"/>
          <w:szCs w:val="32"/>
          <w:highlight w:val="none"/>
        </w:rPr>
        <w:t>查看受理进度。</w:t>
      </w:r>
    </w:p>
    <w:p>
      <w:pPr>
        <w:pageBreakBefore w:val="0"/>
        <w:kinsoku/>
        <w:overflowPunct/>
        <w:topLinePunct w:val="0"/>
        <w:bidi w:val="0"/>
        <w:spacing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（三）深圳市住房和建设局负责对申报材料进行</w:t>
      </w:r>
      <w:r>
        <w:rPr>
          <w:rFonts w:hint="eastAsia" w:ascii="仿宋_GB2312" w:eastAsia="仿宋_GB2312" w:cs="仿宋_GB2312"/>
          <w:color w:val="auto"/>
          <w:sz w:val="32"/>
          <w:szCs w:val="32"/>
          <w:highlight w:val="none"/>
        </w:rPr>
        <w:t>预审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000000"/>
          <w:sz w:val="32"/>
          <w:szCs w:val="32"/>
          <w:highlight w:val="none"/>
        </w:rPr>
        <w:t>形式审查</w:t>
      </w:r>
      <w:r>
        <w:rPr>
          <w:rFonts w:hint="eastAsia" w:ascii="仿宋_GB2312" w:eastAsia="仿宋_GB2312" w:cs="仿宋_GB2312"/>
          <w:color w:val="000000"/>
          <w:sz w:val="32"/>
          <w:szCs w:val="32"/>
          <w:highlight w:val="none"/>
          <w:lang w:eastAsia="zh-CN"/>
        </w:rPr>
        <w:t>、专家评审、项目核查。专家评审期间，请申报单位根据深圳市住房和建设局后续通知，将申报材料纸质件提交至评审会现场</w:t>
      </w:r>
      <w:r>
        <w:rPr>
          <w:rFonts w:hint="eastAsia" w:ascii="仿宋_GB2312" w:hAnsi="仿宋_GB2312" w:eastAsia="仿宋_GB2312" w:cs="仿宋_GB2312"/>
          <w:color w:val="auto"/>
          <w:sz w:val="32"/>
          <w:szCs w:val="32"/>
          <w:highlight w:val="none"/>
          <w:shd w:val="clear" w:color="auto" w:fill="auto"/>
          <w:lang w:val="en-US" w:eastAsia="zh-CN"/>
        </w:rPr>
        <w:t>。</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深圳市住房和建设局根据评审、核查结果提出年度拟扶持项目名单，经征求相关行政职能部门意见无异议的，向社会公示，公示时间不少于5个工作日。</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经公示无异议和经核查异议不成立的项目，由深圳市住房和建设局将其纳入拟资助项目库，根据年度规模控制择优列入年度计划，报市财政部门审核。</w:t>
      </w:r>
    </w:p>
    <w:p>
      <w:pPr>
        <w:pageBreakBefore w:val="0"/>
        <w:widowControl/>
        <w:kinsoku/>
        <w:overflowPunct/>
        <w:topLinePunct w:val="0"/>
        <w:bidi w:val="0"/>
        <w:snapToGrid w:val="0"/>
        <w:spacing w:line="560" w:lineRule="exact"/>
        <w:ind w:left="420" w:leftChars="200" w:firstLine="320" w:firstLineChars="1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26"/>
        <w:pageBreakBefore w:val="0"/>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w:t>
      </w:r>
      <w:r>
        <w:rPr>
          <w:rFonts w:hint="eastAsia" w:ascii="仿宋_GB2312" w:eastAsia="仿宋_GB2312" w:cs="仿宋_GB2312"/>
          <w:color w:val="000000"/>
          <w:sz w:val="32"/>
          <w:szCs w:val="32"/>
          <w:highlight w:val="none"/>
          <w:lang w:eastAsia="zh-CN"/>
        </w:rPr>
        <w:t>：2024年3月</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:00至2024年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3</w:t>
      </w:r>
      <w:r>
        <w:rPr>
          <w:rFonts w:hint="eastAsia" w:ascii="仿宋_GB2312" w:eastAsia="仿宋_GB2312" w:cs="仿宋_GB2312"/>
          <w:color w:val="000000"/>
          <w:sz w:val="32"/>
          <w:szCs w:val="32"/>
          <w:highlight w:val="none"/>
          <w:lang w:eastAsia="zh-CN"/>
        </w:rPr>
        <w:t>日17:00。</w:t>
      </w:r>
    </w:p>
    <w:p>
      <w:pPr>
        <w:pStyle w:val="26"/>
        <w:pageBreakBefore w:val="0"/>
        <w:kinsoku/>
        <w:overflowPunct/>
        <w:topLinePunct w:val="0"/>
        <w:bidi w:val="0"/>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（二）咨询电话：0755-83786656（市住房建设局</w:t>
      </w:r>
      <w:r>
        <w:rPr>
          <w:rFonts w:hint="eastAsia" w:ascii="仿宋_GB2312" w:eastAsia="仿宋_GB2312" w:cs="仿宋_GB2312"/>
          <w:sz w:val="32"/>
          <w:szCs w:val="32"/>
          <w:highlight w:val="none"/>
        </w:rPr>
        <w:t>，冯工）。</w:t>
      </w:r>
    </w:p>
    <w:p>
      <w:pPr>
        <w:pageBreakBefore w:val="0"/>
        <w:kinsoku/>
        <w:overflowPunct/>
        <w:topLinePunct w:val="0"/>
        <w:bidi w:val="0"/>
        <w:snapToGrid w:val="0"/>
        <w:spacing w:line="560" w:lineRule="exact"/>
        <w:ind w:firstLine="640" w:firstLineChars="200"/>
        <w:rPr>
          <w:rFonts w:ascii="仿宋_GB2312" w:eastAsia="仿宋_GB2312"/>
          <w:sz w:val="32"/>
          <w:szCs w:val="32"/>
          <w:highlight w:val="none"/>
        </w:rPr>
      </w:pPr>
    </w:p>
    <w:p>
      <w:pPr>
        <w:keepNext w:val="0"/>
        <w:keepLines w:val="0"/>
        <w:pageBreakBefore w:val="0"/>
        <w:widowControl/>
        <w:kinsoku/>
        <w:overflowPunct/>
        <w:topLinePunct w:val="0"/>
        <w:bidi w:val="0"/>
        <w:snapToGrid w:val="0"/>
        <w:spacing w:line="560" w:lineRule="exact"/>
        <w:ind w:left="1476" w:leftChars="304" w:hanging="838" w:hangingChars="262"/>
        <w:rPr>
          <w:rFonts w:ascii="仿宋_GB2312" w:hAnsi="仿宋_GB2312" w:eastAsia="仿宋_GB2312" w:cs="仿宋_GB2312"/>
          <w:sz w:val="32"/>
          <w:szCs w:val="32"/>
          <w:highlight w:val="none"/>
        </w:rPr>
      </w:pPr>
      <w:r>
        <w:rPr>
          <w:rFonts w:hint="eastAsia" w:ascii="仿宋_GB2312" w:eastAsia="仿宋_GB2312"/>
          <w:sz w:val="32"/>
          <w:szCs w:val="32"/>
          <w:highlight w:val="none"/>
        </w:rPr>
        <w:t>附录：</w:t>
      </w:r>
      <w:r>
        <w:rPr>
          <w:rFonts w:hint="eastAsia" w:ascii="仿宋_GB2312" w:hAnsi="仿宋_GB2312" w:eastAsia="仿宋_GB2312" w:cs="仿宋_GB2312"/>
          <w:sz w:val="32"/>
          <w:szCs w:val="32"/>
          <w:highlight w:val="none"/>
        </w:rPr>
        <w:t>1.深圳市工程建设领域</w:t>
      </w:r>
      <w:r>
        <w:rPr>
          <w:rFonts w:hint="eastAsia" w:ascii="仿宋_GB2312" w:hAnsi="仿宋_GB2312" w:eastAsia="仿宋_GB2312" w:cs="仿宋_GB2312"/>
          <w:sz w:val="32"/>
          <w:szCs w:val="32"/>
          <w:highlight w:val="none"/>
          <w:lang w:eastAsia="zh-CN"/>
        </w:rPr>
        <w:t>绿色创新发展</w:t>
      </w:r>
      <w:r>
        <w:rPr>
          <w:rFonts w:hint="eastAsia" w:ascii="仿宋_GB2312" w:hAnsi="仿宋_GB2312" w:eastAsia="仿宋_GB2312" w:cs="仿宋_GB2312"/>
          <w:sz w:val="32"/>
          <w:szCs w:val="32"/>
          <w:highlight w:val="none"/>
        </w:rPr>
        <w:t>专项资金扶持计划项目申报书</w:t>
      </w:r>
    </w:p>
    <w:p>
      <w:pPr>
        <w:pageBreakBefore w:val="0"/>
        <w:kinsoku/>
        <w:overflowPunct/>
        <w:topLinePunct w:val="0"/>
        <w:bidi w:val="0"/>
        <w:spacing w:line="560" w:lineRule="exact"/>
        <w:ind w:firstLine="1600" w:firstLineChars="500"/>
        <w:rPr>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.项目投资专项审计报告编制大纲</w:t>
      </w:r>
    </w:p>
    <w:p>
      <w:pPr>
        <w:pageBreakBefore w:val="0"/>
        <w:widowControl/>
        <w:kinsoku/>
        <w:overflowPunct/>
        <w:topLinePunct w:val="0"/>
        <w:bidi w:val="0"/>
        <w:spacing w:line="560" w:lineRule="exact"/>
        <w:jc w:val="left"/>
        <w:rPr>
          <w:rFonts w:eastAsia="仿宋_GB2312"/>
          <w:sz w:val="30"/>
          <w:highlight w:val="none"/>
        </w:rPr>
      </w:pPr>
      <w:r>
        <w:rPr>
          <w:rFonts w:eastAsia="仿宋_GB2312"/>
          <w:sz w:val="30"/>
          <w:highlight w:val="none"/>
        </w:rPr>
        <w:br w:type="page"/>
      </w:r>
    </w:p>
    <w:p>
      <w:pPr>
        <w:pStyle w:val="26"/>
        <w:pageBreakBefore w:val="0"/>
        <w:widowControl/>
        <w:kinsoku/>
        <w:overflowPunct/>
        <w:topLinePunct w:val="0"/>
        <w:bidi w:val="0"/>
        <w:snapToGrid w:val="0"/>
        <w:spacing w:line="560" w:lineRule="exact"/>
        <w:ind w:right="0"/>
        <w:jc w:val="lef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附录1</w:t>
      </w:r>
    </w:p>
    <w:p>
      <w:pPr>
        <w:pageBreakBefore w:val="0"/>
        <w:tabs>
          <w:tab w:val="center" w:pos="3660"/>
          <w:tab w:val="left" w:pos="5010"/>
          <w:tab w:val="left" w:pos="8460"/>
        </w:tabs>
        <w:kinsoku/>
        <w:wordWrap w:val="0"/>
        <w:overflowPunct/>
        <w:topLinePunct w:val="0"/>
        <w:bidi w:val="0"/>
        <w:spacing w:line="560" w:lineRule="exact"/>
        <w:ind w:right="99"/>
        <w:jc w:val="right"/>
        <w:rPr>
          <w:rFonts w:eastAsia="仿宋_GB2312"/>
          <w:sz w:val="30"/>
          <w:highlight w:val="none"/>
        </w:rPr>
      </w:pPr>
      <w:r>
        <w:rPr>
          <w:rFonts w:hint="eastAsia" w:eastAsia="仿宋_GB2312"/>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b/>
          <w:sz w:val="28"/>
          <w:highlight w:val="none"/>
        </w:rPr>
      </w:pPr>
      <w:r>
        <w:rPr>
          <w:rFonts w:hint="eastAsia"/>
          <w:b/>
          <w:sz w:val="28"/>
          <w:highlight w:val="none"/>
        </w:rPr>
        <w:t xml:space="preserve">  </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jc w:val="center"/>
        <w:rPr>
          <w:rFonts w:ascii="黑体" w:eastAsia="黑体"/>
          <w:b/>
          <w:sz w:val="48"/>
          <w:szCs w:val="48"/>
          <w:highlight w:val="none"/>
        </w:rPr>
      </w:pPr>
      <w:r>
        <w:rPr>
          <w:rFonts w:hint="eastAsia" w:ascii="黑体" w:eastAsia="黑体"/>
          <w:b/>
          <w:sz w:val="48"/>
          <w:szCs w:val="48"/>
          <w:highlight w:val="none"/>
        </w:rPr>
        <w:t xml:space="preserve"> 深圳市工程建设领域绿色创新发展专项资金扶持计划项目申报书</w:t>
      </w:r>
    </w:p>
    <w:p>
      <w:pPr>
        <w:pageBreakBefore w:val="0"/>
        <w:kinsoku/>
        <w:overflowPunct/>
        <w:topLinePunct w:val="0"/>
        <w:bidi w:val="0"/>
        <w:snapToGrid w:val="0"/>
        <w:spacing w:line="560" w:lineRule="exact"/>
        <w:jc w:val="center"/>
        <w:rPr>
          <w:rFonts w:ascii="楷体" w:hAnsi="楷体" w:eastAsia="楷体" w:cs="楷体"/>
          <w:b/>
          <w:sz w:val="48"/>
          <w:szCs w:val="48"/>
          <w:highlight w:val="none"/>
        </w:rPr>
      </w:pPr>
      <w:r>
        <w:rPr>
          <w:rFonts w:hint="eastAsia" w:ascii="楷体" w:hAnsi="楷体" w:eastAsia="楷体" w:cs="楷体"/>
          <w:b/>
          <w:sz w:val="48"/>
          <w:szCs w:val="48"/>
          <w:highlight w:val="none"/>
        </w:rPr>
        <w:t>（高星级绿色建筑示范项目）</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sz w:val="32"/>
          <w:highlight w:val="none"/>
          <w:u w:val="single"/>
        </w:rPr>
      </w:pPr>
      <w:r>
        <w:rPr>
          <w:rFonts w:hint="eastAsia" w:ascii="仿宋_GB2312" w:eastAsia="黑体"/>
          <w:b/>
          <w:kern w:val="16"/>
          <w:sz w:val="32"/>
          <w:highlight w:val="none"/>
        </w:rPr>
        <w:t>项 目 名 称</w:t>
      </w:r>
      <w:r>
        <w:rPr>
          <w:rFonts w:hint="eastAsia" w:ascii="仿宋_GB2312" w:eastAsia="黑体"/>
          <w:b/>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sz w:val="32"/>
          <w:highlight w:val="none"/>
        </w:rPr>
      </w:pPr>
      <w:r>
        <w:rPr>
          <w:rFonts w:hint="eastAsia" w:ascii="仿宋_GB2312" w:eastAsia="黑体"/>
          <w:b/>
          <w:kern w:val="16"/>
          <w:sz w:val="32"/>
          <w:highlight w:val="none"/>
        </w:rPr>
        <w:t>申 报 单 位</w:t>
      </w:r>
      <w:r>
        <w:rPr>
          <w:rFonts w:hint="eastAsia" w:ascii="仿宋" w:hAnsi="仿宋" w:eastAsia="仿宋" w:cs="仿宋"/>
          <w:sz w:val="18"/>
          <w:szCs w:val="15"/>
          <w:highlight w:val="none"/>
        </w:rPr>
        <w:t xml:space="preserve"> </w:t>
      </w:r>
      <w:r>
        <w:rPr>
          <w:rFonts w:hint="eastAsia" w:ascii="仿宋" w:hAnsi="仿宋" w:eastAsia="仿宋" w:cs="仿宋"/>
          <w:sz w:val="28"/>
          <w:szCs w:val="22"/>
          <w:highlight w:val="none"/>
          <w:u w:val="single"/>
        </w:rPr>
        <w:t xml:space="preserve">（牵头单位）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sz w:val="22"/>
          <w:szCs w:val="20"/>
          <w:highlight w:val="none"/>
          <w:u w:val="singl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r>
        <w:rPr>
          <w:rFonts w:hint="eastAsia" w:ascii="仿宋" w:hAnsi="仿宋" w:eastAsia="仿宋" w:cs="仿宋"/>
          <w:sz w:val="22"/>
          <w:szCs w:val="20"/>
          <w:highlight w:val="none"/>
          <w:u w:val="single"/>
        </w:rPr>
        <w:t xml:space="preserve"> </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sz w:val="32"/>
          <w:highlight w:val="non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b/>
          <w:sz w:val="32"/>
          <w:highlight w:val="none"/>
          <w:u w:val="single"/>
        </w:rPr>
      </w:pPr>
      <w:r>
        <w:rPr>
          <w:rFonts w:hint="eastAsia" w:ascii="仿宋_GB2312" w:eastAsia="黑体"/>
          <w:b/>
          <w:sz w:val="32"/>
          <w:highlight w:val="none"/>
        </w:rPr>
        <w:t>申 报 时 间</w:t>
      </w:r>
      <w:r>
        <w:rPr>
          <w:rFonts w:hint="eastAsia" w:ascii="仿宋_GB2312" w:eastAsia="黑体"/>
          <w:b/>
          <w:sz w:val="32"/>
          <w:highlight w:val="none"/>
          <w:u w:val="single"/>
        </w:rPr>
        <w:t xml:space="preserve">                               </w:t>
      </w:r>
    </w:p>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tbl>
      <w:tblPr>
        <w:tblStyle w:val="11"/>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pageBreakBefore w:val="0"/>
              <w:kinsoku/>
              <w:overflowPunct/>
              <w:topLinePunct w:val="0"/>
              <w:bidi w:val="0"/>
              <w:spacing w:line="560" w:lineRule="exact"/>
              <w:ind w:right="640" w:firstLine="1280" w:firstLineChars="400"/>
              <w:rPr>
                <w:rFonts w:ascii="宋体" w:hAnsi="宋体"/>
                <w:sz w:val="30"/>
                <w:szCs w:val="30"/>
                <w:highlight w:val="none"/>
              </w:rPr>
            </w:pPr>
            <w:r>
              <w:rPr>
                <w:rFonts w:hint="eastAsia" w:ascii="黑体" w:hAnsi="宋体" w:eastAsia="黑体"/>
                <w:sz w:val="32"/>
                <w:szCs w:val="32"/>
                <w:highlight w:val="none"/>
              </w:rPr>
              <w:t>深圳市住房和建设局</w:t>
            </w:r>
          </w:p>
        </w:tc>
        <w:tc>
          <w:tcPr>
            <w:tcW w:w="1036" w:type="dxa"/>
            <w:vAlign w:val="center"/>
          </w:tcPr>
          <w:p>
            <w:pPr>
              <w:pageBreakBefore w:val="0"/>
              <w:kinsoku/>
              <w:overflowPunct/>
              <w:topLinePunct w:val="0"/>
              <w:bidi w:val="0"/>
              <w:spacing w:line="560" w:lineRule="exact"/>
              <w:rPr>
                <w:rFonts w:ascii="宋体" w:hAnsi="宋体"/>
                <w:sz w:val="30"/>
                <w:szCs w:val="30"/>
                <w:highlight w:val="none"/>
              </w:rPr>
            </w:pPr>
            <w:r>
              <w:rPr>
                <w:rFonts w:hint="eastAsia" w:ascii="黑体" w:hAnsi="宋体" w:eastAsia="黑体"/>
                <w:sz w:val="32"/>
                <w:szCs w:val="32"/>
                <w:highlight w:val="none"/>
              </w:rPr>
              <w:t>编制</w:t>
            </w:r>
          </w:p>
        </w:tc>
      </w:tr>
    </w:tbl>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p>
      <w:pPr>
        <w:pageBreakBefore w:val="0"/>
        <w:widowControl/>
        <w:kinsoku/>
        <w:overflowPunct/>
        <w:topLinePunct w:val="0"/>
        <w:bidi w:val="0"/>
        <w:spacing w:line="560" w:lineRule="exact"/>
        <w:jc w:val="left"/>
        <w:rPr>
          <w:rFonts w:ascii="仿宋_GB2312" w:hAnsi="Courier New" w:eastAsia="仿宋_GB2312"/>
          <w:b/>
          <w:sz w:val="24"/>
          <w:highlight w:val="none"/>
        </w:rPr>
      </w:pPr>
      <w:r>
        <w:rPr>
          <w:rFonts w:ascii="仿宋_GB2312" w:hAnsi="Courier New" w:eastAsia="仿宋_GB2312"/>
          <w:b/>
          <w:sz w:val="24"/>
          <w:highlight w:val="none"/>
        </w:rPr>
        <w:br w:type="page"/>
      </w:r>
    </w:p>
    <w:p>
      <w:pPr>
        <w:pageBreakBefore w:val="0"/>
        <w:kinsoku/>
        <w:overflowPunct/>
        <w:topLinePunct w:val="0"/>
        <w:bidi w:val="0"/>
        <w:snapToGrid w:val="0"/>
        <w:spacing w:line="560" w:lineRule="exact"/>
        <w:rPr>
          <w:rFonts w:ascii="仿宋_GB2312" w:hAnsi="Courier New" w:eastAsia="仿宋_GB2312"/>
          <w:b/>
          <w:sz w:val="24"/>
          <w:highlight w:val="none"/>
        </w:rPr>
      </w:pPr>
    </w:p>
    <w:p>
      <w:pPr>
        <w:pageBreakBefore w:val="0"/>
        <w:kinsoku/>
        <w:overflowPunct/>
        <w:topLinePunct w:val="0"/>
        <w:bidi w:val="0"/>
        <w:snapToGrid w:val="0"/>
        <w:spacing w:line="560" w:lineRule="exact"/>
        <w:jc w:val="center"/>
        <w:rPr>
          <w:rFonts w:ascii="黑体" w:eastAsia="黑体"/>
          <w:b/>
          <w:bCs/>
          <w:color w:val="000000"/>
          <w:sz w:val="36"/>
          <w:highlight w:val="none"/>
        </w:rPr>
      </w:pPr>
      <w:r>
        <w:rPr>
          <w:rFonts w:hint="eastAsia" w:ascii="仿宋_GB2312" w:eastAsia="仿宋_GB2312"/>
          <w:b/>
          <w:bCs/>
          <w:color w:val="000000"/>
          <w:sz w:val="36"/>
          <w:szCs w:val="36"/>
          <w:highlight w:val="none"/>
        </w:rPr>
        <w:t>填报说明</w:t>
      </w:r>
    </w:p>
    <w:p>
      <w:pPr>
        <w:pageBreakBefore w:val="0"/>
        <w:kinsoku/>
        <w:overflowPunct/>
        <w:topLinePunct w:val="0"/>
        <w:bidi w:val="0"/>
        <w:snapToGrid w:val="0"/>
        <w:spacing w:line="560" w:lineRule="exact"/>
        <w:ind w:firstLine="624"/>
        <w:rPr>
          <w:rFonts w:ascii="仿宋_GB2312" w:eastAsia="仿宋_GB2312"/>
          <w:sz w:val="30"/>
          <w:highlight w:val="none"/>
        </w:rPr>
      </w:pP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2.申报项目符合《深圳市工程建设领域绿色创新发展专项资金管理办法》《深圳市工程建设领域绿色创新发展专项资金实施细则》等有关规定；</w:t>
      </w:r>
    </w:p>
    <w:p>
      <w:pPr>
        <w:pageBreakBefore w:val="0"/>
        <w:kinsoku/>
        <w:overflowPunct/>
        <w:topLinePunct w:val="0"/>
        <w:bidi w:val="0"/>
        <w:snapToGrid w:val="0"/>
        <w:spacing w:line="560" w:lineRule="exact"/>
        <w:ind w:firstLine="624"/>
        <w:rPr>
          <w:rFonts w:ascii="仿宋_GB2312" w:hAnsi="Courier New" w:eastAsia="仿宋_GB2312"/>
          <w:sz w:val="24"/>
          <w:highlight w:val="none"/>
        </w:rPr>
      </w:pPr>
      <w:r>
        <w:rPr>
          <w:rFonts w:hint="eastAsia" w:ascii="仿宋_GB2312" w:eastAsia="仿宋_GB2312"/>
          <w:sz w:val="30"/>
          <w:highlight w:val="none"/>
        </w:rPr>
        <w:t>3.本项目申报书内容应按要求填写完整，不得漏填、缺项。</w:t>
      </w:r>
    </w:p>
    <w:p>
      <w:pPr>
        <w:pageBreakBefore w:val="0"/>
        <w:kinsoku/>
        <w:overflowPunct/>
        <w:topLinePunct w:val="0"/>
        <w:bidi w:val="0"/>
        <w:spacing w:line="560" w:lineRule="exact"/>
        <w:jc w:val="left"/>
        <w:rPr>
          <w:rFonts w:ascii="仿宋_GB2312" w:hAnsi="Courier New" w:eastAsia="仿宋_GB2312"/>
          <w:sz w:val="24"/>
          <w:highlight w:val="none"/>
        </w:rPr>
      </w:pPr>
      <w:r>
        <w:rPr>
          <w:rFonts w:ascii="仿宋_GB2312" w:hAnsi="Courier New" w:eastAsia="仿宋_GB2312"/>
          <w:sz w:val="24"/>
          <w:highlight w:val="none"/>
        </w:rPr>
        <w:br w:type="page"/>
      </w:r>
    </w:p>
    <w:p>
      <w:pPr>
        <w:pStyle w:val="2"/>
        <w:pageBreakBefore w:val="0"/>
        <w:kinsoku/>
        <w:overflowPunct/>
        <w:topLinePunct w:val="0"/>
        <w:bidi w:val="0"/>
        <w:spacing w:before="312" w:beforeLines="100" w:after="312" w:afterLines="100" w:line="560" w:lineRule="exact"/>
        <w:jc w:val="center"/>
        <w:rPr>
          <w:sz w:val="36"/>
          <w:szCs w:val="36"/>
          <w:highlight w:val="none"/>
        </w:rPr>
      </w:pPr>
      <w:r>
        <w:rPr>
          <w:rFonts w:hint="eastAsia"/>
          <w:sz w:val="36"/>
          <w:szCs w:val="36"/>
          <w:highlight w:val="none"/>
        </w:rPr>
        <w:t>承 诺 书</w:t>
      </w:r>
    </w:p>
    <w:p>
      <w:pPr>
        <w:pageBreakBefore w:val="0"/>
        <w:kinsoku/>
        <w:overflowPunct/>
        <w:topLinePunct w:val="0"/>
        <w:bidi w:val="0"/>
        <w:snapToGrid w:val="0"/>
        <w:spacing w:line="560" w:lineRule="exac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kinsoku/>
        <w:overflowPunct/>
        <w:topLinePunct w:val="0"/>
        <w:bidi w:val="0"/>
        <w:snapToGrid w:val="0"/>
        <w:spacing w:line="560" w:lineRule="exact"/>
        <w:ind w:firstLine="560" w:firstLineChars="200"/>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我单位自愿申请深圳市工程建设领域绿色创新发展专项资金扶持项目，并做出以下承诺：</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2.本次申报项目不存在以绿色建筑名义重复申报或多头申报其他市级财政专项资金的情况。</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lang w:val="en"/>
        </w:rPr>
      </w:pPr>
      <w:r>
        <w:rPr>
          <w:rFonts w:ascii="仿宋_GB2312" w:eastAsia="仿宋_GB2312"/>
          <w:sz w:val="28"/>
          <w:szCs w:val="22"/>
          <w:highlight w:val="none"/>
        </w:rPr>
        <w:t>3.</w:t>
      </w:r>
      <w:r>
        <w:rPr>
          <w:rFonts w:hint="eastAsia" w:ascii="仿宋_GB2312" w:eastAsia="仿宋_GB2312"/>
          <w:sz w:val="28"/>
          <w:szCs w:val="22"/>
          <w:highlight w:val="none"/>
        </w:rPr>
        <w:t>我单位未被列入失信联合惩戒名单。</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我单位项目不存在被监管部门责令限期拆除，但尚未拆除的违法建筑。</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5.</w:t>
      </w:r>
      <w:r>
        <w:rPr>
          <w:rFonts w:hint="eastAsia" w:ascii="仿宋_GB2312" w:eastAsia="仿宋_GB2312"/>
          <w:sz w:val="28"/>
          <w:szCs w:val="22"/>
          <w:highlight w:val="none"/>
        </w:rPr>
        <w:t>我单位3年内未发生较大及以上安全生产事故，1年内未发生一般安全生产事故。</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6.</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7.若获得深圳市工程建设领域绿色创新发展专项资金资助，我单位将严格按照深圳市住房和建设局有关规定签订和执行有关资助协议，配合深圳市住房和建设局组织开展的观摩、交流等活动，并策划及配备绿色建筑相关的观摩方案。</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28"/>
          <w:szCs w:val="22"/>
          <w:highlight w:val="none"/>
        </w:rPr>
        <w:t>以上承诺若有违反，一经查实，本单位自动放弃申请，本人和本单位愿意承担由此带来的法律后果。</w:t>
      </w:r>
    </w:p>
    <w:p>
      <w:pPr>
        <w:pageBreakBefore w:val="0"/>
        <w:widowControl/>
        <w:kinsoku/>
        <w:overflowPunct/>
        <w:topLinePunct w:val="0"/>
        <w:bidi w:val="0"/>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承诺单位：</w:t>
      </w:r>
      <w:r>
        <w:rPr>
          <w:rFonts w:hint="eastAsia" w:ascii="仿宋" w:hAnsi="仿宋" w:eastAsia="仿宋" w:cs="仿宋"/>
          <w:kern w:val="0"/>
          <w:sz w:val="24"/>
          <w:highlight w:val="none"/>
        </w:rPr>
        <w:t xml:space="preserve">（牵头单位公章）     </w:t>
      </w:r>
      <w:r>
        <w:rPr>
          <w:rFonts w:hint="eastAsia" w:ascii="仿宋_GB2312" w:eastAsia="仿宋_GB2312"/>
          <w:sz w:val="30"/>
          <w:highlight w:val="none"/>
        </w:rPr>
        <w:t>承诺人</w:t>
      </w:r>
      <w:r>
        <w:rPr>
          <w:rFonts w:hint="eastAsia" w:ascii="仿宋" w:hAnsi="仿宋" w:eastAsia="仿宋" w:cs="仿宋"/>
          <w:kern w:val="0"/>
          <w:sz w:val="24"/>
          <w:highlight w:val="none"/>
        </w:rPr>
        <w:t>：（牵头单位法定代表人签字）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sz w:val="24"/>
          <w:highlight w:val="none"/>
        </w:rPr>
        <w:sectPr>
          <w:footerReference r:id="rId3"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highlight w:val="none"/>
        </w:rPr>
        <w:t xml:space="preserve">          年   月   日</w:t>
      </w:r>
    </w:p>
    <w:tbl>
      <w:tblPr>
        <w:tblStyle w:val="11"/>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30"/>
        <w:gridCol w:w="181"/>
        <w:gridCol w:w="1099"/>
        <w:gridCol w:w="91"/>
        <w:gridCol w:w="341"/>
        <w:gridCol w:w="850"/>
        <w:gridCol w:w="788"/>
        <w:gridCol w:w="1099"/>
        <w:gridCol w:w="250"/>
        <w:gridCol w:w="465"/>
        <w:gridCol w:w="273"/>
        <w:gridCol w:w="2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color w:val="000000"/>
                <w:sz w:val="24"/>
                <w:highlight w:val="none"/>
              </w:rPr>
              <w:t>项目名称</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项目地址</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4"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宗地号</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bCs/>
                <w:color w:val="000000"/>
                <w:sz w:val="24"/>
                <w:highlight w:val="none"/>
              </w:rPr>
              <w:t>建设工程规划许证日期及编号</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r>
              <w:rPr>
                <w:rFonts w:hint="eastAsia" w:ascii="仿宋_GB2312" w:hAnsi="仿宋_GB2312" w:eastAsia="仿宋_GB2312" w:cs="仿宋_GB2312"/>
                <w:b/>
                <w:bCs/>
                <w:color w:val="000000"/>
                <w:sz w:val="24"/>
                <w:highlight w:val="none"/>
              </w:rPr>
              <w:t>工程竣工验收备案日期及编号</w:t>
            </w:r>
          </w:p>
        </w:tc>
        <w:tc>
          <w:tcPr>
            <w:tcW w:w="27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实施起止</w:t>
            </w:r>
          </w:p>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年限</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项目立项时间：        年      月     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534" w:hRule="atLeast"/>
          <w:jc w:val="center"/>
        </w:trPr>
        <w:tc>
          <w:tcPr>
            <w:tcW w:w="143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建筑类型</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住宅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公建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住宅、公建综合体  □工业</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采用标准</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《绿色建筑评价标准》（GB/T50378-2014）</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《绿色工业建筑评价标准》（GB/T50878）</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《既有建筑绿色改造评价标准》（GBT51141）</w:t>
            </w: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《绿色建筑评价标准》（GB/T50378-2019）</w:t>
            </w:r>
          </w:p>
          <w:p>
            <w:pPr>
              <w:pageBreakBefore w:val="0"/>
              <w:kinsoku/>
              <w:overflowPunct/>
              <w:topLinePunct w:val="0"/>
              <w:bidi w:val="0"/>
              <w:snapToGrid w:val="0"/>
              <w:spacing w:line="560" w:lineRule="exact"/>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《绿色建筑评价标准》（SJG47-2018）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绿建等级</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□二星级 □三星级 □金级 □铂金级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用地面积</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总建筑面积</w:t>
            </w:r>
          </w:p>
        </w:tc>
        <w:tc>
          <w:tcPr>
            <w:tcW w:w="302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示范面积</w:t>
            </w: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面积</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right="1080" w:firstLine="120" w:firstLineChars="50"/>
              <w:jc w:val="center"/>
              <w:rPr>
                <w:rFonts w:ascii="仿宋_GB2312" w:hAnsi="仿宋_GB2312" w:eastAsia="仿宋_GB2312" w:cs="仿宋_GB2312"/>
                <w:sz w:val="24"/>
                <w:highlight w:val="none"/>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right="1080" w:firstLine="120" w:firstLineChars="50"/>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总投资额</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建安工程费用</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绿色建筑增量成本</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元</w:t>
            </w:r>
            <w:r>
              <w:rPr>
                <w:rFonts w:ascii="仿宋_GB2312" w:hAnsi="仿宋_GB2312" w:eastAsia="仿宋_GB2312" w:cs="仿宋_GB2312"/>
                <w:sz w:val="24"/>
                <w:highlight w:val="none"/>
              </w:rPr>
              <w:t>/m</w:t>
            </w:r>
            <w:r>
              <w:rPr>
                <w:rFonts w:ascii="仿宋_GB2312" w:hAnsi="仿宋_GB2312" w:eastAsia="仿宋_GB2312" w:cs="仿宋_GB2312"/>
                <w:sz w:val="24"/>
                <w:highlight w:val="none"/>
                <w:vertAlign w:val="superscript"/>
              </w:rPr>
              <w:t>2</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与绿色建筑相关的</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固定资产投资</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建筑单位能耗信息</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0"/>
                <w:highlight w:val="none"/>
              </w:rPr>
              <w:t xml:space="preserve"> </w:t>
            </w:r>
            <w:r>
              <w:rPr>
                <w:rFonts w:ascii="仿宋_GB2312" w:hAnsi="仿宋_GB2312" w:eastAsia="仿宋_GB2312" w:cs="仿宋_GB2312"/>
                <w:sz w:val="20"/>
                <w:highlight w:val="none"/>
              </w:rPr>
              <w:t xml:space="preserve">              </w:t>
            </w:r>
            <w:r>
              <w:rPr>
                <w:rFonts w:hint="eastAsia" w:ascii="仿宋_GB2312" w:hAnsi="仿宋_GB2312" w:eastAsia="仿宋_GB2312" w:cs="仿宋_GB2312"/>
                <w:sz w:val="24"/>
                <w:highlight w:val="none"/>
              </w:rPr>
              <w:t>kWh</w:t>
            </w:r>
            <w:r>
              <w:rPr>
                <w:rFonts w:ascii="仿宋_GB2312" w:hAnsi="仿宋_GB2312" w:eastAsia="仿宋_GB2312" w:cs="仿宋_GB2312"/>
                <w:sz w:val="24"/>
                <w:highlight w:val="none"/>
              </w:rPr>
              <w:t>/</w:t>
            </w:r>
            <w:r>
              <w:rPr>
                <w:rFonts w:hint="eastAsia" w:ascii="Batang" w:hAnsi="Batang" w:eastAsia="Batang" w:cs="Batang"/>
                <w:sz w:val="24"/>
                <w:highlight w:val="none"/>
              </w:rPr>
              <w:t>㎡</w:t>
            </w:r>
            <w:r>
              <w:rPr>
                <w:rFonts w:hint="eastAsia" w:ascii="Batang" w:hAnsi="Batang" w:cs="Batang"/>
                <w:sz w:val="24"/>
                <w:highlight w:val="none"/>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符合国家产业政策和工程建设行业发展方向</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能够促进工程建设领域绿色创新发展，具有较好的社会、环境和经济效益，能够发挥良好示范意义和较强带动作用</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资金申报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Email</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建设单位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设计单位</w:t>
            </w:r>
          </w:p>
        </w:tc>
        <w:tc>
          <w:tcPr>
            <w:tcW w:w="4449" w:type="dxa"/>
            <w:gridSpan w:val="7"/>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施工单位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咨询单位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仿宋_GB2312" w:eastAsia="仿宋_GB2312" w:cs="仿宋_GB2312"/>
                <w:sz w:val="20"/>
                <w:highlight w:val="none"/>
              </w:rPr>
              <w:t>（若无，可不填写）</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物业管理单位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二、工程概况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（项目名称、建设地点、项目性质、结构形式、建设规模及内容、项目工艺方案、总平面布置、工程投资等主要经济技术指标、项目建设完成情况、开发与建设周期等。）</w:t>
            </w: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三、示范内容简介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1、项目必要性，300-400字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2、项目主要绿色建筑技术措施，200-300字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3、项目运行概况（如用能情况、可再生能源情况等）</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四、项目创新点、推广价值和综合效益分析介绍（可另附页）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1、项目创新点</w:t>
            </w:r>
          </w:p>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（项目应用绿色建筑技术情况及技术特点、在实施及运行过程中的技术创新、技术获奖或申请专利、工法情况等）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51"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2、项目推广价值（即示范意义）</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549"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3、综合效益分析</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（包括项目环境效益，经济效益和社会效益情况等）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0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五、项目绩效目标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2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项目的产出和效果目标（参照下列格式填报）</w:t>
            </w:r>
          </w:p>
          <w:tbl>
            <w:tblPr>
              <w:tblStyle w:val="11"/>
              <w:tblW w:w="8745" w:type="dxa"/>
              <w:tblInd w:w="0" w:type="dxa"/>
              <w:tblLayout w:type="fixed"/>
              <w:tblCellMar>
                <w:top w:w="0" w:type="dxa"/>
                <w:left w:w="108" w:type="dxa"/>
                <w:bottom w:w="0" w:type="dxa"/>
                <w:right w:w="108" w:type="dxa"/>
              </w:tblCellMar>
            </w:tblPr>
            <w:tblGrid>
              <w:gridCol w:w="2807"/>
              <w:gridCol w:w="3439"/>
              <w:gridCol w:w="2499"/>
            </w:tblGrid>
            <w:tr>
              <w:tblPrEx>
                <w:tblCellMar>
                  <w:top w:w="0" w:type="dxa"/>
                  <w:left w:w="108" w:type="dxa"/>
                  <w:bottom w:w="0" w:type="dxa"/>
                  <w:right w:w="108" w:type="dxa"/>
                </w:tblCellMar>
              </w:tblPrEx>
              <w:trPr>
                <w:trHeight w:val="499" w:hRule="atLeast"/>
              </w:trPr>
              <w:tc>
                <w:tcPr>
                  <w:tcW w:w="281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二级目标*</w:t>
                  </w:r>
                </w:p>
              </w:tc>
              <w:tc>
                <w:tcPr>
                  <w:tcW w:w="344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指标内容*</w:t>
                  </w:r>
                </w:p>
              </w:tc>
              <w:tc>
                <w:tcPr>
                  <w:tcW w:w="25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指标目标值*</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落实绿色建筑示范项目（个）</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质量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达到绿色建筑示范项目的示范效果</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100%</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时效</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按时完成绿色建筑示范项目</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lang w:bidi="ar"/>
                    </w:rPr>
                    <w:t>12月31日之前</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社会效益</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通过绿色建筑示范项目的推广，促进绿色建筑宣传普及，提高社会认知。</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有效促进和推广</w:t>
                  </w:r>
                </w:p>
              </w:tc>
            </w:tr>
          </w:tbl>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六、申报单位概况（如联合申报，则各单位分别填写）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jc w:val="left"/>
              <w:rPr>
                <w:rFonts w:hint="eastAsia"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七、示范观摩方案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（项目承担示范观摩的方案介绍，如人员组织、观摩路线、路线沿途的亮点介绍等内容）</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八、已获得或已申报其他财政专项资金情况说明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（请列明项目已经获得本市其他财政专项资金资助或奖励，或已申报本市其他财政性专项资金资助或奖励的情况）</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九、项目主要参加人员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职务</w:t>
            </w: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十、申报单位意见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ascii="仿宋_GB2312" w:hAnsi="仿宋_GB2312" w:eastAsia="仿宋_GB2312" w:cs="仿宋_GB2312"/>
                <w:color w:val="000000"/>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项目申报单位（盖章）：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项目联合体申报                             </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项目牵头申报单位（盖章）：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jc w:val="left"/>
              <w:rPr>
                <w:rFonts w:ascii="仿宋_GB2312" w:hAnsi="仿宋_GB2312" w:eastAsia="仿宋_GB2312" w:cs="仿宋_GB2312"/>
                <w:sz w:val="24"/>
                <w:highlight w:val="none"/>
              </w:rPr>
            </w:pPr>
          </w:p>
        </w:tc>
      </w:tr>
    </w:tbl>
    <w:p>
      <w:pPr>
        <w:pageBreakBefore w:val="0"/>
        <w:kinsoku/>
        <w:overflowPunct/>
        <w:topLinePunct w:val="0"/>
        <w:bidi w:val="0"/>
        <w:spacing w:line="560" w:lineRule="exact"/>
        <w:rPr>
          <w:rFonts w:ascii="仿宋_GB2312" w:eastAsia="仿宋_GB2312"/>
          <w:color w:val="000000"/>
          <w:sz w:val="32"/>
          <w:szCs w:val="32"/>
          <w:highlight w:val="none"/>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highlight w:val="none"/>
        </w:rPr>
        <w:br w:type="page"/>
      </w:r>
    </w:p>
    <w:p>
      <w:pPr>
        <w:pageBreakBefore w:val="0"/>
        <w:kinsoku/>
        <w:overflowPunct/>
        <w:topLinePunct w:val="0"/>
        <w:bidi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附录2</w:t>
      </w: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8"/>
              <w:pageBreakBefore w:val="0"/>
              <w:kinsoku/>
              <w:overflowPunct/>
              <w:topLinePunct w:val="0"/>
              <w:bidi w:val="0"/>
              <w:spacing w:line="560" w:lineRule="exact"/>
              <w:rPr>
                <w:b w:val="0"/>
                <w:szCs w:val="28"/>
                <w:highlight w:val="none"/>
              </w:rPr>
            </w:pPr>
            <w:r>
              <w:rPr>
                <w:rFonts w:hint="eastAsia"/>
                <w:b w:val="0"/>
                <w:szCs w:val="28"/>
                <w:highlight w:val="none"/>
              </w:rPr>
              <w:t>关于</w:t>
            </w:r>
            <w:r>
              <w:rPr>
                <w:b w:val="0"/>
                <w:szCs w:val="28"/>
                <w:highlight w:val="none"/>
              </w:rPr>
              <w:t>深圳市</w:t>
            </w:r>
            <w:r>
              <w:rPr>
                <w:rFonts w:hint="eastAsia"/>
                <w:b w:val="0"/>
                <w:szCs w:val="28"/>
                <w:highlight w:val="none"/>
              </w:rPr>
              <w:t>××××</w:t>
            </w:r>
            <w:r>
              <w:rPr>
                <w:b w:val="0"/>
                <w:szCs w:val="28"/>
                <w:highlight w:val="none"/>
              </w:rPr>
              <w:t>有限公司</w:t>
            </w:r>
          </w:p>
          <w:p>
            <w:pPr>
              <w:pageBreakBefore w:val="0"/>
              <w:kinsoku/>
              <w:overflowPunct/>
              <w:topLinePunct w:val="0"/>
              <w:bidi w:val="0"/>
              <w:snapToGrid w:val="0"/>
              <w:spacing w:before="157" w:beforeLines="50" w:line="560" w:lineRule="exact"/>
              <w:jc w:val="center"/>
              <w:rPr>
                <w:rFonts w:eastAsia="仿宋_GB2312"/>
                <w:bCs/>
                <w:sz w:val="28"/>
                <w:szCs w:val="28"/>
                <w:highlight w:val="none"/>
              </w:rPr>
            </w:pPr>
            <w:r>
              <w:rPr>
                <w:rFonts w:hint="eastAsia" w:eastAsia="仿宋_GB2312"/>
                <w:bCs/>
                <w:sz w:val="28"/>
                <w:szCs w:val="28"/>
                <w:highlight w:val="none"/>
              </w:rPr>
              <w:t>××项目投资的</w:t>
            </w:r>
          </w:p>
          <w:p>
            <w:pPr>
              <w:pageBreakBefore w:val="0"/>
              <w:kinsoku/>
              <w:overflowPunct/>
              <w:topLinePunct w:val="0"/>
              <w:bidi w:val="0"/>
              <w:snapToGrid w:val="0"/>
              <w:spacing w:before="157" w:beforeLines="50" w:line="560" w:lineRule="exact"/>
              <w:jc w:val="center"/>
              <w:rPr>
                <w:rFonts w:eastAsia="黑体"/>
                <w:bCs/>
                <w:sz w:val="32"/>
                <w:szCs w:val="32"/>
                <w:highlight w:val="none"/>
              </w:rPr>
            </w:pPr>
            <w:r>
              <w:rPr>
                <w:rFonts w:hint="eastAsia" w:eastAsia="黑体"/>
                <w:bCs/>
                <w:sz w:val="32"/>
                <w:szCs w:val="32"/>
                <w:highlight w:val="none"/>
              </w:rPr>
              <w:t xml:space="preserve">专 项 审 计 </w:t>
            </w:r>
            <w:r>
              <w:rPr>
                <w:rFonts w:eastAsia="黑体"/>
                <w:bCs/>
                <w:sz w:val="32"/>
                <w:szCs w:val="32"/>
                <w:highlight w:val="none"/>
              </w:rPr>
              <w:t>报 告</w:t>
            </w: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pageBreakBefore w:val="0"/>
              <w:kinsoku/>
              <w:overflowPunct/>
              <w:topLinePunct w:val="0"/>
              <w:bidi w:val="0"/>
              <w:spacing w:after="157" w:afterLines="50" w:line="560" w:lineRule="exact"/>
              <w:jc w:val="center"/>
              <w:rPr>
                <w:rFonts w:eastAsia="黑体"/>
                <w:color w:val="000000"/>
                <w:szCs w:val="21"/>
                <w:highlight w:val="none"/>
              </w:rPr>
            </w:pPr>
            <w:r>
              <w:rPr>
                <w:rFonts w:eastAsia="黑体"/>
                <w:bCs/>
                <w:color w:val="000000"/>
                <w:szCs w:val="21"/>
                <w:highlight w:val="none"/>
              </w:rPr>
              <w:t>目录</w:t>
            </w:r>
          </w:p>
        </w:tc>
        <w:tc>
          <w:tcPr>
            <w:tcW w:w="1947" w:type="dxa"/>
          </w:tcPr>
          <w:p>
            <w:pPr>
              <w:pageBreakBefore w:val="0"/>
              <w:kinsoku/>
              <w:overflowPunct/>
              <w:topLinePunct w:val="0"/>
              <w:bidi w:val="0"/>
              <w:spacing w:after="157" w:afterLines="50" w:line="560" w:lineRule="exact"/>
              <w:rPr>
                <w:color w:val="000000"/>
                <w:szCs w:val="21"/>
                <w:highlight w:val="none"/>
              </w:rPr>
            </w:pPr>
          </w:p>
        </w:tc>
        <w:tc>
          <w:tcPr>
            <w:tcW w:w="1293" w:type="dxa"/>
            <w:tcBorders>
              <w:bottom w:val="single" w:color="auto" w:sz="4" w:space="0"/>
            </w:tcBorders>
          </w:tcPr>
          <w:p>
            <w:pPr>
              <w:pageBreakBefore w:val="0"/>
              <w:tabs>
                <w:tab w:val="left" w:pos="207"/>
              </w:tabs>
              <w:kinsoku/>
              <w:overflowPunct/>
              <w:topLinePunct w:val="0"/>
              <w:bidi w:val="0"/>
              <w:spacing w:after="157" w:afterLines="50" w:line="560" w:lineRule="exact"/>
              <w:ind w:right="-107" w:rightChars="-51" w:hanging="31"/>
              <w:jc w:val="center"/>
              <w:rPr>
                <w:rFonts w:eastAsia="黑体"/>
                <w:bCs/>
                <w:color w:val="000000"/>
                <w:szCs w:val="21"/>
                <w:highlight w:val="none"/>
              </w:rPr>
            </w:pPr>
            <w:r>
              <w:rPr>
                <w:rFonts w:eastAsia="黑体"/>
                <w:bCs/>
                <w:color w:val="000000"/>
                <w:szCs w:val="21"/>
                <w:highlight w:val="none"/>
              </w:rPr>
              <w:t>页数</w:t>
            </w:r>
          </w:p>
        </w:tc>
      </w:tr>
      <w:tr>
        <w:tblPrEx>
          <w:tblCellMar>
            <w:top w:w="0" w:type="dxa"/>
            <w:left w:w="108" w:type="dxa"/>
            <w:bottom w:w="0" w:type="dxa"/>
            <w:right w:w="108" w:type="dxa"/>
          </w:tblCellMar>
        </w:tblPrEx>
        <w:trPr>
          <w:cantSplit/>
        </w:trPr>
        <w:tc>
          <w:tcPr>
            <w:tcW w:w="5220" w:type="dxa"/>
          </w:tcPr>
          <w:p>
            <w:pPr>
              <w:pageBreakBefore w:val="0"/>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一、</w:t>
            </w:r>
            <w:r>
              <w:rPr>
                <w:rFonts w:hint="eastAsia" w:eastAsia="黑体"/>
                <w:bCs/>
                <w:color w:val="000000"/>
                <w:szCs w:val="21"/>
                <w:highlight w:val="none"/>
              </w:rPr>
              <w:t>××项目投资专项审计报告</w:t>
            </w:r>
          </w:p>
        </w:tc>
        <w:tc>
          <w:tcPr>
            <w:tcW w:w="1947" w:type="dxa"/>
          </w:tcPr>
          <w:p>
            <w:pPr>
              <w:pageBreakBefore w:val="0"/>
              <w:kinsoku/>
              <w:overflowPunct/>
              <w:topLinePunct w:val="0"/>
              <w:bidi w:val="0"/>
              <w:spacing w:line="560" w:lineRule="exact"/>
              <w:rPr>
                <w:b/>
                <w:bCs/>
                <w:color w:val="000000"/>
                <w:szCs w:val="21"/>
                <w:highlight w:val="none"/>
              </w:rPr>
            </w:pPr>
          </w:p>
        </w:tc>
        <w:tc>
          <w:tcPr>
            <w:tcW w:w="1293" w:type="dxa"/>
            <w:tcBorders>
              <w:top w:val="single" w:color="auto" w:sz="4" w:space="0"/>
            </w:tcBorders>
          </w:tcPr>
          <w:p>
            <w:pPr>
              <w:pageBreakBefore w:val="0"/>
              <w:tabs>
                <w:tab w:val="left" w:pos="207"/>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before="157" w:beforeLines="50" w:after="157" w:afterLines="50" w:line="560" w:lineRule="exact"/>
              <w:rPr>
                <w:rFonts w:eastAsia="黑体"/>
                <w:bCs/>
                <w:color w:val="000000"/>
                <w:szCs w:val="21"/>
                <w:highlight w:val="none"/>
              </w:rPr>
            </w:pPr>
            <w:r>
              <w:rPr>
                <w:rFonts w:eastAsia="黑体"/>
                <w:bCs/>
                <w:color w:val="000000"/>
                <w:szCs w:val="21"/>
                <w:highlight w:val="none"/>
              </w:rPr>
              <w:t>二、深圳市</w:t>
            </w:r>
            <w:r>
              <w:rPr>
                <w:rFonts w:hint="eastAsia" w:eastAsia="黑体"/>
                <w:bCs/>
                <w:color w:val="000000"/>
                <w:szCs w:val="21"/>
                <w:highlight w:val="none"/>
              </w:rPr>
              <w:t>××××</w:t>
            </w:r>
            <w:r>
              <w:rPr>
                <w:rFonts w:eastAsia="黑体"/>
                <w:bCs/>
                <w:color w:val="000000"/>
                <w:szCs w:val="21"/>
                <w:highlight w:val="none"/>
              </w:rPr>
              <w:t>有限公司</w:t>
            </w:r>
          </w:p>
          <w:p>
            <w:pPr>
              <w:pageBreakBefore w:val="0"/>
              <w:tabs>
                <w:tab w:val="left" w:pos="879"/>
              </w:tabs>
              <w:kinsoku/>
              <w:overflowPunct/>
              <w:topLinePunct w:val="0"/>
              <w:bidi w:val="0"/>
              <w:spacing w:before="157" w:beforeLines="50" w:after="157" w:afterLines="50" w:line="560" w:lineRule="exact"/>
              <w:ind w:left="430" w:leftChars="205"/>
              <w:rPr>
                <w:rFonts w:eastAsia="黑体"/>
                <w:bCs/>
                <w:color w:val="000000"/>
                <w:szCs w:val="21"/>
                <w:highlight w:val="none"/>
              </w:rPr>
            </w:pPr>
            <w:r>
              <w:rPr>
                <w:rFonts w:eastAsia="黑体"/>
                <w:bCs/>
                <w:color w:val="000000"/>
                <w:szCs w:val="21"/>
                <w:highlight w:val="none"/>
              </w:rPr>
              <w:t>关于</w:t>
            </w:r>
            <w:r>
              <w:rPr>
                <w:rFonts w:hint="eastAsia" w:eastAsia="黑体"/>
                <w:bCs/>
                <w:color w:val="000000"/>
                <w:szCs w:val="21"/>
                <w:highlight w:val="none"/>
              </w:rPr>
              <w:t>××项目投资</w:t>
            </w:r>
            <w:r>
              <w:rPr>
                <w:rFonts w:eastAsia="黑体"/>
                <w:bCs/>
                <w:color w:val="000000"/>
                <w:szCs w:val="21"/>
                <w:highlight w:val="none"/>
              </w:rPr>
              <w:t>情况报告</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vAlign w:val="center"/>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三、</w:t>
            </w:r>
            <w:r>
              <w:rPr>
                <w:rFonts w:hint="eastAsia" w:eastAsia="黑体"/>
                <w:bCs/>
                <w:color w:val="000000"/>
                <w:szCs w:val="21"/>
                <w:highlight w:val="none"/>
              </w:rPr>
              <w:t>审计</w:t>
            </w:r>
            <w:r>
              <w:rPr>
                <w:rFonts w:eastAsia="黑体"/>
                <w:bCs/>
                <w:color w:val="000000"/>
                <w:szCs w:val="21"/>
                <w:highlight w:val="none"/>
              </w:rPr>
              <w:t>机构营业执照及执业许可证复印件</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bl>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Ansi="Garamond" w:eastAsia="黑体"/>
          <w:color w:val="000000"/>
          <w:sz w:val="28"/>
          <w:szCs w:val="32"/>
          <w:highlight w:val="none"/>
        </w:rPr>
        <w:t>关于深圳市</w:t>
      </w:r>
      <w:r>
        <w:rPr>
          <w:rFonts w:hint="eastAsia" w:hAnsi="Garamond" w:eastAsia="黑体"/>
          <w:color w:val="000000"/>
          <w:sz w:val="28"/>
          <w:szCs w:val="32"/>
          <w:highlight w:val="none"/>
        </w:rPr>
        <w:t>××××</w:t>
      </w:r>
      <w:r>
        <w:rPr>
          <w:rFonts w:hAnsi="Garamond" w:eastAsia="黑体"/>
          <w:color w:val="000000"/>
          <w:sz w:val="28"/>
          <w:szCs w:val="32"/>
          <w:highlight w:val="none"/>
        </w:rPr>
        <w:t>有限公司</w:t>
      </w: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int="eastAsia" w:hAnsi="Garamond" w:eastAsia="黑体"/>
          <w:color w:val="000000"/>
          <w:sz w:val="28"/>
          <w:szCs w:val="32"/>
          <w:highlight w:val="none"/>
        </w:rPr>
        <w:t>××项目投资专项审计报告</w:t>
      </w:r>
    </w:p>
    <w:p>
      <w:pPr>
        <w:pageBreakBefore w:val="0"/>
        <w:kinsoku/>
        <w:wordWrap w:val="0"/>
        <w:overflowPunct/>
        <w:topLinePunct w:val="0"/>
        <w:bidi w:val="0"/>
        <w:snapToGrid w:val="0"/>
        <w:spacing w:before="236" w:beforeLines="75" w:after="157" w:afterLines="50" w:line="560" w:lineRule="exact"/>
        <w:jc w:val="right"/>
        <w:rPr>
          <w:rFonts w:eastAsia="黑体"/>
          <w:color w:val="000000"/>
          <w:szCs w:val="21"/>
          <w:highlight w:val="none"/>
        </w:rPr>
      </w:pPr>
      <w:r>
        <w:rPr>
          <w:rFonts w:hint="eastAsia" w:eastAsia="黑体"/>
          <w:color w:val="000000"/>
          <w:szCs w:val="21"/>
          <w:highlight w:val="none"/>
        </w:rPr>
        <w:t xml:space="preserve"> ××字[202×]×××</w:t>
      </w:r>
      <w:r>
        <w:rPr>
          <w:rFonts w:eastAsia="黑体"/>
          <w:color w:val="000000"/>
          <w:szCs w:val="21"/>
          <w:highlight w:val="none"/>
        </w:rPr>
        <w:t xml:space="preserve"> </w:t>
      </w:r>
    </w:p>
    <w:p>
      <w:pPr>
        <w:pageBreakBefore w:val="0"/>
        <w:kinsoku/>
        <w:overflowPunct/>
        <w:topLinePunct w:val="0"/>
        <w:bidi w:val="0"/>
        <w:snapToGrid w:val="0"/>
        <w:spacing w:before="236" w:beforeLines="75" w:after="157" w:afterLines="50" w:line="560" w:lineRule="exact"/>
        <w:rPr>
          <w:rFonts w:ascii="黑体" w:eastAsia="黑体"/>
          <w:bCs/>
          <w:color w:val="000000"/>
          <w:szCs w:val="21"/>
          <w:highlight w:val="none"/>
        </w:rPr>
      </w:pPr>
      <w:r>
        <w:rPr>
          <w:rFonts w:hint="eastAsia" w:ascii="黑体" w:eastAsia="黑体"/>
          <w:bCs/>
          <w:color w:val="000000"/>
          <w:szCs w:val="21"/>
          <w:highlight w:val="none"/>
        </w:rPr>
        <w:t>深圳市××××有限公司：</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根据《深圳市工程建设领域绿色创新发展专项资金管理办法》（深建规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我们接受委托，</w:t>
      </w:r>
      <w:r>
        <w:rPr>
          <w:rFonts w:hint="eastAsia" w:hAnsi="Garamond"/>
          <w:color w:val="000000"/>
          <w:szCs w:val="21"/>
          <w:highlight w:val="none"/>
        </w:rPr>
        <w:t>对深圳市××××</w:t>
      </w:r>
      <w:r>
        <w:rPr>
          <w:rFonts w:hAnsi="Garamond"/>
          <w:color w:val="000000"/>
          <w:szCs w:val="21"/>
          <w:highlight w:val="none"/>
        </w:rPr>
        <w:t>有限公司（以下简称</w:t>
      </w:r>
      <w:r>
        <w:rPr>
          <w:rFonts w:hint="eastAsia" w:hAnsi="Garamond"/>
          <w:color w:val="000000"/>
          <w:szCs w:val="21"/>
          <w:highlight w:val="none"/>
        </w:rPr>
        <w:t>××</w:t>
      </w:r>
      <w:r>
        <w:rPr>
          <w:rFonts w:hAnsi="Garamond"/>
          <w:color w:val="000000"/>
          <w:szCs w:val="21"/>
          <w:highlight w:val="none"/>
        </w:rPr>
        <w:t>公司）</w:t>
      </w:r>
      <w:r>
        <w:rPr>
          <w:rFonts w:hint="eastAsia" w:hAnsi="Garamond"/>
          <w:color w:val="000000"/>
          <w:szCs w:val="21"/>
          <w:highlight w:val="none"/>
        </w:rPr>
        <w:t>××项目投资情况进行审计。</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w:t>
      </w:r>
      <w:r>
        <w:rPr>
          <w:rFonts w:hAnsi="Garamond"/>
          <w:color w:val="000000"/>
          <w:szCs w:val="21"/>
          <w:highlight w:val="none"/>
        </w:rPr>
        <w:t>公司管理层的责任按照</w:t>
      </w:r>
      <w:r>
        <w:rPr>
          <w:rFonts w:hint="eastAsia" w:hAnsi="Garamond"/>
          <w:color w:val="000000"/>
          <w:szCs w:val="21"/>
          <w:highlight w:val="none"/>
        </w:rPr>
        <w:t>《深圳市市级财政专项资金管理办法》（深府规</w:t>
      </w:r>
      <w:r>
        <w:rPr>
          <w:rFonts w:hint="eastAsia" w:ascii="宋体" w:hAnsi="宋体"/>
          <w:sz w:val="24"/>
          <w:highlight w:val="none"/>
        </w:rPr>
        <w:t>〔2018〕12</w:t>
      </w:r>
      <w:r>
        <w:rPr>
          <w:rFonts w:hint="eastAsia" w:hAnsi="Garamond"/>
          <w:color w:val="000000"/>
          <w:szCs w:val="21"/>
          <w:highlight w:val="none"/>
        </w:rPr>
        <w:t>号）《深圳市工程建设领域绿色创新发展专项资金管理办法》（深建规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提供真实、合法、完整的相关资料，并保证其内容真实、准确、完整，不存在虚假记录、误导性陈述或重大遗漏。</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color w:val="000000"/>
          <w:szCs w:val="21"/>
          <w:highlight w:val="none"/>
        </w:rPr>
      </w:pPr>
      <w:r>
        <w:rPr>
          <w:rFonts w:hAnsi="Garamond"/>
          <w:color w:val="000000"/>
          <w:szCs w:val="21"/>
          <w:highlight w:val="none"/>
        </w:rPr>
        <w:t>我们的责任是在实施鉴证工作的基础上对</w:t>
      </w:r>
      <w:r>
        <w:rPr>
          <w:rFonts w:hint="eastAsia" w:hAnsi="Garamond"/>
          <w:color w:val="000000"/>
          <w:szCs w:val="21"/>
          <w:highlight w:val="none"/>
        </w:rPr>
        <w:t>XXXXXXX</w:t>
      </w:r>
      <w:r>
        <w:rPr>
          <w:rFonts w:hAnsi="Garamond"/>
          <w:color w:val="000000"/>
          <w:szCs w:val="21"/>
          <w:highlight w:val="none"/>
        </w:rPr>
        <w:t>管理层编制的上述报告发表意见。我们按照《中国注册会计师其他鉴证业务准则第</w:t>
      </w:r>
      <w:r>
        <w:rPr>
          <w:color w:val="000000"/>
          <w:szCs w:val="21"/>
          <w:highlight w:val="none"/>
        </w:rPr>
        <w:t>3101</w:t>
      </w:r>
      <w:r>
        <w:rPr>
          <w:rFonts w:hAnsi="Garamond"/>
          <w:color w:val="000000"/>
          <w:szCs w:val="21"/>
          <w:highlight w:val="none"/>
        </w:rPr>
        <w:t>号</w:t>
      </w:r>
      <w:r>
        <w:rPr>
          <w:color w:val="000000"/>
          <w:szCs w:val="21"/>
          <w:highlight w:val="none"/>
        </w:rPr>
        <w:t>——</w:t>
      </w:r>
      <w:r>
        <w:rPr>
          <w:rFonts w:hAnsi="Garamond"/>
          <w:color w:val="000000"/>
          <w:szCs w:val="21"/>
          <w:highlight w:val="none"/>
        </w:rPr>
        <w:t>历史财务信息审计或审阅以外的鉴证业务》的规定执行了</w:t>
      </w:r>
      <w:r>
        <w:rPr>
          <w:rFonts w:hint="eastAsia" w:hAnsi="Garamond"/>
          <w:color w:val="000000"/>
          <w:szCs w:val="21"/>
          <w:highlight w:val="none"/>
        </w:rPr>
        <w:t>专项审计</w:t>
      </w:r>
      <w:r>
        <w:rPr>
          <w:rFonts w:hAnsi="Garamond"/>
          <w:color w:val="000000"/>
          <w:szCs w:val="21"/>
          <w:highlight w:val="none"/>
        </w:rPr>
        <w:t>业务。该准则要求我们计划和实施鉴证工作，以对鉴证对象信息是否不存在重大错报获取合理保证。在</w:t>
      </w:r>
      <w:r>
        <w:rPr>
          <w:rFonts w:hint="eastAsia" w:hAnsi="Garamond"/>
          <w:color w:val="000000"/>
          <w:szCs w:val="21"/>
          <w:highlight w:val="none"/>
        </w:rPr>
        <w:t>专项审计</w:t>
      </w:r>
      <w:r>
        <w:rPr>
          <w:rFonts w:hAnsi="Garamond"/>
          <w:color w:val="000000"/>
          <w:szCs w:val="21"/>
          <w:highlight w:val="none"/>
        </w:rPr>
        <w:t>过程中，我们进行了审慎调查，实施了包括核查会计记录等我们认为必要的程序，并根据所取得的材料做出职业判断。我们相信，我们的鉴证工作为发表意见提供了合理的基础。</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现将××项目投资情况报告如下：</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项目概况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说明项目承担单位的基本情况：包括项目单位名称、所有制性质、主营业务、地址、法定代表人、项目联系人及联系方式。</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说明项目情况：包括项目名称、建设地点、项目性质、建设规模及内容、项目建设完成情况。</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截至20</w:t>
      </w:r>
      <w:r>
        <w:rPr>
          <w:rFonts w:hAnsi="Garamond" w:eastAsia="黑体"/>
          <w:color w:val="000000"/>
          <w:szCs w:val="21"/>
          <w:highlight w:val="none"/>
          <w:lang w:val="en"/>
        </w:rPr>
        <w:t>2</w:t>
      </w:r>
      <w:r>
        <w:rPr>
          <w:rFonts w:hint="eastAsia" w:hAnsi="Garamond" w:eastAsia="黑体"/>
          <w:color w:val="000000"/>
          <w:szCs w:val="21"/>
          <w:highlight w:val="none"/>
        </w:rPr>
        <w:t xml:space="preserve"> 年  月  日项目投资情况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（一）项目投资情况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w:t>
      </w:r>
      <w:r>
        <w:rPr>
          <w:rFonts w:ascii="宋体" w:hAnsi="宋体"/>
          <w:color w:val="000000"/>
          <w:szCs w:val="21"/>
          <w:highlight w:val="none"/>
          <w:lang w:val="en"/>
        </w:rPr>
        <w:t>2</w:t>
      </w:r>
      <w:r>
        <w:rPr>
          <w:rFonts w:hint="eastAsia" w:ascii="宋体" w:hAnsi="宋体"/>
          <w:color w:val="000000"/>
          <w:szCs w:val="21"/>
          <w:highlight w:val="none"/>
        </w:rPr>
        <w:t xml:space="preserve"> 年 月 日止，项目投资情况如下：</w:t>
      </w:r>
    </w:p>
    <w:tbl>
      <w:tblPr>
        <w:tblStyle w:val="1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项  目</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金额（万元）</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其中：已付款</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其中：尚未付款</w:t>
            </w:r>
          </w:p>
        </w:tc>
        <w:tc>
          <w:tcPr>
            <w:tcW w:w="1624"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土建投资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设备投资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b/>
                <w:bCs/>
                <w:color w:val="000000"/>
                <w:szCs w:val="21"/>
                <w:highlight w:val="none"/>
              </w:rPr>
              <w:t>合计</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bl>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按申请文件，或批复文件中对项目列明的投资类别，说明截至某基准日投资情况。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（二）项目投资的核算情况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   万元，××公司在法定财务账簿中分别记载于：固定资产    万元，在建工程    万元，存货   万元，无形资产    万元，开发支出   万元，管理费用   万元。</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实施××项目投约束条件的落实情况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逐项引述发改委或其它批复文件中，对项目投资的约束条件，并说明公司的落实情况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Ansi="Garamond"/>
          <w:color w:val="000000"/>
          <w:szCs w:val="21"/>
          <w:highlight w:val="none"/>
        </w:rPr>
        <w:t>附件：</w:t>
      </w:r>
      <w:r>
        <w:rPr>
          <w:rFonts w:hint="eastAsia" w:hAnsi="Garamond"/>
          <w:color w:val="000000"/>
          <w:szCs w:val="21"/>
          <w:highlight w:val="none"/>
        </w:rPr>
        <w:t>深圳××××有限公司××投资项目截至20</w:t>
      </w:r>
      <w:r>
        <w:rPr>
          <w:rFonts w:hAnsi="Garamond"/>
          <w:color w:val="000000"/>
          <w:szCs w:val="21"/>
          <w:highlight w:val="none"/>
          <w:lang w:val="en"/>
        </w:rPr>
        <w:t>2</w:t>
      </w:r>
      <w:r>
        <w:rPr>
          <w:rFonts w:hint="eastAsia" w:hAnsi="Garamond"/>
          <w:color w:val="000000"/>
          <w:szCs w:val="21"/>
          <w:highlight w:val="none"/>
        </w:rPr>
        <w:t xml:space="preserve"> 年 月 日止的设备投资明细表</w:t>
      </w:r>
    </w:p>
    <w:p>
      <w:pPr>
        <w:pageBreakBefore w:val="0"/>
        <w:kinsoku/>
        <w:overflowPunct/>
        <w:topLinePunct w:val="0"/>
        <w:bidi w:val="0"/>
        <w:spacing w:before="157" w:beforeLines="50" w:after="157" w:afterLines="50" w:line="560" w:lineRule="exact"/>
        <w:ind w:firstLine="1050" w:firstLineChars="500"/>
        <w:rPr>
          <w:rFonts w:hAnsi="Garamond"/>
          <w:color w:val="000000"/>
          <w:szCs w:val="21"/>
          <w:highlight w:val="none"/>
        </w:rPr>
      </w:pPr>
      <w:r>
        <w:rPr>
          <w:rFonts w:hint="eastAsia" w:hAnsi="Garamond"/>
          <w:color w:val="000000"/>
          <w:szCs w:val="21"/>
          <w:highlight w:val="none"/>
        </w:rPr>
        <w:t>深圳××××有限公司××投资项目截至20</w:t>
      </w:r>
      <w:r>
        <w:rPr>
          <w:rFonts w:hAnsi="Garamond"/>
          <w:color w:val="000000"/>
          <w:szCs w:val="21"/>
          <w:highlight w:val="none"/>
          <w:lang w:val="en"/>
        </w:rPr>
        <w:t>2</w:t>
      </w:r>
      <w:r>
        <w:rPr>
          <w:rFonts w:hint="eastAsia" w:hAnsi="Garamond"/>
          <w:color w:val="000000"/>
          <w:szCs w:val="21"/>
          <w:highlight w:val="none"/>
        </w:rPr>
        <w:t xml:space="preserve"> 年 月 日止的土建投资明细表</w:t>
      </w:r>
    </w:p>
    <w:p>
      <w:pPr>
        <w:pageBreakBefore w:val="0"/>
        <w:kinsoku/>
        <w:overflowPunct/>
        <w:topLinePunct w:val="0"/>
        <w:bidi w:val="0"/>
        <w:spacing w:before="236" w:beforeLines="75" w:after="157" w:afterLines="50" w:line="560" w:lineRule="exact"/>
        <w:ind w:firstLine="420" w:firstLineChars="200"/>
        <w:rPr>
          <w:color w:val="000000"/>
          <w:szCs w:val="21"/>
          <w:highlight w:val="none"/>
        </w:rPr>
      </w:pPr>
    </w:p>
    <w:p>
      <w:pPr>
        <w:pageBreakBefore w:val="0"/>
        <w:kinsoku/>
        <w:overflowPunct/>
        <w:topLinePunct w:val="0"/>
        <w:autoSpaceDE w:val="0"/>
        <w:autoSpaceDN w:val="0"/>
        <w:bidi w:val="0"/>
        <w:adjustRightInd w:val="0"/>
        <w:spacing w:line="560" w:lineRule="exact"/>
        <w:jc w:val="left"/>
        <w:rPr>
          <w:rFonts w:eastAsia="黑体"/>
          <w:color w:val="000000"/>
          <w:szCs w:val="21"/>
          <w:highlight w:val="none"/>
        </w:rPr>
      </w:pPr>
      <w:r>
        <w:rPr>
          <w:rFonts w:hint="eastAsia" w:eastAsia="黑体"/>
          <w:color w:val="000000"/>
          <w:szCs w:val="21"/>
          <w:highlight w:val="none"/>
        </w:rPr>
        <w:t>××××</w:t>
      </w:r>
      <w:r>
        <w:rPr>
          <w:rFonts w:eastAsia="黑体"/>
          <w:color w:val="000000"/>
          <w:szCs w:val="21"/>
          <w:highlight w:val="none"/>
        </w:rPr>
        <w:t xml:space="preserve">会计师事务所                            </w:t>
      </w:r>
      <w:r>
        <w:rPr>
          <w:rFonts w:eastAsia="黑体"/>
          <w:color w:val="000000"/>
          <w:kern w:val="0"/>
          <w:szCs w:val="21"/>
          <w:highlight w:val="none"/>
        </w:rPr>
        <w:t xml:space="preserve">中国注册会计师                </w:t>
      </w: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有限责任公司          </w:t>
      </w:r>
    </w:p>
    <w:p>
      <w:pPr>
        <w:pageBreakBefore w:val="0"/>
        <w:kinsoku/>
        <w:overflowPunct/>
        <w:topLinePunct w:val="0"/>
        <w:autoSpaceDE w:val="0"/>
        <w:autoSpaceDN w:val="0"/>
        <w:bidi w:val="0"/>
        <w:adjustRightInd w:val="0"/>
        <w:spacing w:line="560" w:lineRule="exact"/>
        <w:ind w:firstLine="5040" w:firstLineChars="2400"/>
        <w:jc w:val="left"/>
        <w:rPr>
          <w:rFonts w:eastAsia="黑体"/>
          <w:color w:val="000000"/>
          <w:kern w:val="0"/>
          <w:szCs w:val="21"/>
          <w:highlight w:val="none"/>
        </w:rPr>
      </w:pPr>
      <w:r>
        <w:rPr>
          <w:rFonts w:eastAsia="黑体"/>
          <w:color w:val="000000"/>
          <w:kern w:val="0"/>
          <w:szCs w:val="21"/>
          <w:highlight w:val="none"/>
        </w:rPr>
        <w:t xml:space="preserve">中国注册会计师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中国  </w:t>
      </w:r>
      <w:r>
        <w:rPr>
          <w:rFonts w:hint="eastAsia" w:eastAsia="黑体"/>
          <w:color w:val="000000"/>
          <w:kern w:val="0"/>
          <w:szCs w:val="21"/>
          <w:highlight w:val="none"/>
        </w:rPr>
        <w:t>××</w:t>
      </w:r>
      <w:r>
        <w:rPr>
          <w:rFonts w:eastAsia="黑体"/>
          <w:color w:val="000000"/>
          <w:kern w:val="0"/>
          <w:szCs w:val="21"/>
          <w:highlight w:val="none"/>
        </w:rPr>
        <w:t xml:space="preserve">                                       20</w:t>
      </w:r>
      <w:r>
        <w:rPr>
          <w:rFonts w:hint="eastAsia" w:eastAsia="黑体"/>
          <w:color w:val="000000"/>
          <w:szCs w:val="21"/>
          <w:highlight w:val="none"/>
        </w:rPr>
        <w:t>××</w:t>
      </w:r>
      <w:r>
        <w:rPr>
          <w:rFonts w:eastAsia="黑体"/>
          <w:color w:val="000000"/>
          <w:kern w:val="0"/>
          <w:szCs w:val="21"/>
          <w:highlight w:val="none"/>
        </w:rPr>
        <w:t>年</w:t>
      </w:r>
      <w:r>
        <w:rPr>
          <w:rFonts w:hint="eastAsia" w:eastAsia="黑体"/>
          <w:color w:val="000000"/>
          <w:kern w:val="0"/>
          <w:szCs w:val="21"/>
          <w:highlight w:val="none"/>
        </w:rPr>
        <w:t xml:space="preserve"> </w:t>
      </w:r>
      <w:r>
        <w:rPr>
          <w:rFonts w:eastAsia="黑体"/>
          <w:color w:val="000000"/>
          <w:kern w:val="0"/>
          <w:szCs w:val="21"/>
          <w:highlight w:val="none"/>
        </w:rPr>
        <w:t>月</w:t>
      </w:r>
      <w:r>
        <w:rPr>
          <w:rFonts w:hint="eastAsia" w:eastAsia="黑体"/>
          <w:color w:val="000000"/>
          <w:kern w:val="0"/>
          <w:szCs w:val="21"/>
          <w:highlight w:val="none"/>
        </w:rPr>
        <w:t xml:space="preserve">  </w:t>
      </w:r>
      <w:r>
        <w:rPr>
          <w:rFonts w:eastAsia="黑体"/>
          <w:color w:val="000000"/>
          <w:kern w:val="0"/>
          <w:szCs w:val="21"/>
          <w:highlight w:val="none"/>
        </w:rPr>
        <w:t>日</w:t>
      </w:r>
    </w:p>
    <w:p>
      <w:pPr>
        <w:pageBreakBefore w:val="0"/>
        <w:kinsoku/>
        <w:overflowPunct/>
        <w:topLinePunct w:val="0"/>
        <w:bidi w:val="0"/>
        <w:snapToGrid w:val="0"/>
        <w:spacing w:before="157" w:beforeLines="50" w:line="560" w:lineRule="exact"/>
        <w:jc w:val="center"/>
        <w:rPr>
          <w:color w:val="000000"/>
          <w:szCs w:val="21"/>
          <w:highlight w:val="none"/>
        </w:rPr>
        <w:sectPr>
          <w:pgSz w:w="11906" w:h="16838"/>
          <w:pgMar w:top="1440" w:right="1803" w:bottom="1440" w:left="1803" w:header="851" w:footer="992" w:gutter="0"/>
          <w:pgNumType w:fmt="numberInDash"/>
          <w:cols w:space="720" w:num="1"/>
          <w:docGrid w:type="lines" w:linePitch="315" w:charSpace="0"/>
        </w:sectPr>
      </w:pPr>
    </w:p>
    <w:p>
      <w:pPr>
        <w:pageBreakBefore w:val="0"/>
        <w:kinsoku/>
        <w:overflowPunct/>
        <w:topLinePunct w:val="0"/>
        <w:bidi w:val="0"/>
        <w:snapToGrid w:val="0"/>
        <w:spacing w:before="315" w:beforeLines="100" w:after="157"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××投资项目土建投资明细表</w:t>
      </w:r>
    </w:p>
    <w:tbl>
      <w:tblPr>
        <w:tblStyle w:val="11"/>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pageBreakBefore w:val="0"/>
              <w:kinsoku/>
              <w:overflowPunct/>
              <w:topLinePunct w:val="0"/>
              <w:bidi w:val="0"/>
              <w:snapToGrid w:val="0"/>
              <w:spacing w:before="110" w:beforeLines="35"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600" w:type="dxa"/>
            <w:vMerge w:val="restart"/>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项目名称</w:t>
            </w:r>
          </w:p>
        </w:tc>
        <w:tc>
          <w:tcPr>
            <w:tcW w:w="1600" w:type="dxa"/>
            <w:gridSpan w:val="2"/>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面积（万平米）</w:t>
            </w:r>
          </w:p>
        </w:tc>
        <w:tc>
          <w:tcPr>
            <w:tcW w:w="11012" w:type="dxa"/>
            <w:gridSpan w:val="8"/>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Merge w:val="continue"/>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宗地</w:t>
            </w: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建筑</w:t>
            </w: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土地价款</w:t>
            </w: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规划设计等前期工程费</w:t>
            </w: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基础设施费</w:t>
            </w: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建安工程费</w:t>
            </w: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公共配套费</w:t>
            </w: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开发间接费用</w:t>
            </w: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其它</w:t>
            </w: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0" w:beforeLines="35" w:line="560" w:lineRule="exact"/>
        <w:jc w:val="center"/>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5" w:charSpace="0"/>
        </w:sectPr>
      </w:pPr>
    </w:p>
    <w:p>
      <w:pPr>
        <w:pageBreakBefore w:val="0"/>
        <w:kinsoku/>
        <w:overflowPunct/>
        <w:topLinePunct w:val="0"/>
        <w:bidi w:val="0"/>
        <w:snapToGrid w:val="0"/>
        <w:spacing w:before="315" w:beforeLines="100" w:after="157"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××投资项目设备投资明细表</w:t>
      </w:r>
    </w:p>
    <w:tbl>
      <w:tblPr>
        <w:tblStyle w:val="11"/>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ageBreakBefore w:val="0"/>
              <w:kinsoku/>
              <w:overflowPunct/>
              <w:topLinePunct w:val="0"/>
              <w:bidi w:val="0"/>
              <w:snapToGrid w:val="0"/>
              <w:spacing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825"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设备名称</w:t>
            </w:r>
          </w:p>
        </w:tc>
        <w:tc>
          <w:tcPr>
            <w:tcW w:w="19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型号</w:t>
            </w:r>
          </w:p>
        </w:tc>
        <w:tc>
          <w:tcPr>
            <w:tcW w:w="191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生产厂家</w:t>
            </w:r>
          </w:p>
        </w:tc>
        <w:tc>
          <w:tcPr>
            <w:tcW w:w="6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数量</w:t>
            </w:r>
          </w:p>
        </w:tc>
        <w:tc>
          <w:tcPr>
            <w:tcW w:w="1263"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单价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16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总价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8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存放地点</w:t>
            </w:r>
          </w:p>
        </w:tc>
        <w:tc>
          <w:tcPr>
            <w:tcW w:w="33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0" w:beforeLines="35" w:line="560" w:lineRule="exact"/>
        <w:jc w:val="both"/>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5" w:charSpace="0"/>
        </w:sectPr>
      </w:pPr>
      <w:bookmarkStart w:id="0" w:name="_GoBack"/>
      <w:bookmarkEnd w:id="0"/>
    </w:p>
    <w:p>
      <w:pPr>
        <w:pageBreakBefore w:val="0"/>
        <w:kinsoku/>
        <w:overflowPunct/>
        <w:topLinePunct w:val="0"/>
        <w:bidi w:val="0"/>
        <w:spacing w:line="560" w:lineRule="exact"/>
        <w:rPr>
          <w:rFonts w:ascii="仿宋_GB2312" w:eastAsia="仿宋_GB2312"/>
          <w:sz w:val="22"/>
          <w:szCs w:val="22"/>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0008009F" w:csb1="00000000"/>
  </w:font>
  <w:font w:name="Garamond">
    <w:altName w:val="FreeSerif"/>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g6+Rr0QAAAAMBAAAPAAAAAAAAAAEAIAAAADgA&#10;AABkcnMvZG93bnJldi54bWxQSwECFAAUAAAACACHTuJA2GzIFsEBAAB8AwAADgAAAAAAAAABACAA&#10;AAA2AQAAZHJzL2Uyb0RvYy54bWxQSwUGAAAAAAYABgBZAQAAaQ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S/0sLQAAAAAwEAAA8A&#10;AAAAAAAAAQAgAAAAOAAAAGRycy9kb3ducmV2LnhtbFBLAQIUABQAAAAIAIdO4kDeqgei0AEAAHwD&#10;AAAOAAAAAAAAAAEAIAAAADUBAABkcnMvZTJvRG9jLnhtbFBLBQYAAAAABgAGAFkBAAB3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1">
    <w:nsid w:val="16671375"/>
    <w:multiLevelType w:val="singleLevel"/>
    <w:tmpl w:val="16671375"/>
    <w:lvl w:ilvl="0" w:tentative="0">
      <w:start w:val="1"/>
      <w:numFmt w:val="chineseCounting"/>
      <w:suff w:val="nothing"/>
      <w:lvlText w:val="%1、"/>
      <w:lvlJc w:val="left"/>
      <w:rPr>
        <w:rFonts w:hint="eastAsia"/>
      </w:rPr>
    </w:lvl>
  </w:abstractNum>
  <w:abstractNum w:abstractNumId="2">
    <w:nsid w:val="5AAB27B2"/>
    <w:multiLevelType w:val="singleLevel"/>
    <w:tmpl w:val="5AAB27B2"/>
    <w:lvl w:ilvl="0" w:tentative="0">
      <w:start w:val="4"/>
      <w:numFmt w:val="chineseCounting"/>
      <w:suff w:val="nothing"/>
      <w:lvlText w:val="（%1）"/>
      <w:lvlJc w:val="left"/>
      <w:pPr>
        <w:ind w:left="0" w:firstLine="0"/>
      </w:pPr>
    </w:lvl>
  </w:abstractNum>
  <w:abstractNum w:abstractNumId="3">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1"/>
  </w:num>
  <w:num w:numId="2">
    <w:abstractNumId w:val="0"/>
  </w:num>
  <w:num w:numId="3">
    <w:abstractNumId w:val="2"/>
    <w:lvlOverride w:ilvl="0">
      <w:startOverride w:val="4"/>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9"/>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DhkZjZiYjBlODMxNTQ3OWMyNzQ1M2YzOGIwZTgifQ=="/>
  </w:docVars>
  <w:rsids>
    <w:rsidRoot w:val="000A211D"/>
    <w:rsid w:val="000011CE"/>
    <w:rsid w:val="000037F9"/>
    <w:rsid w:val="0004546B"/>
    <w:rsid w:val="00055AD9"/>
    <w:rsid w:val="000A211D"/>
    <w:rsid w:val="000C2C28"/>
    <w:rsid w:val="000C4A00"/>
    <w:rsid w:val="000D4267"/>
    <w:rsid w:val="000F35A4"/>
    <w:rsid w:val="00131274"/>
    <w:rsid w:val="0013180A"/>
    <w:rsid w:val="0016630D"/>
    <w:rsid w:val="00167CF6"/>
    <w:rsid w:val="0017456B"/>
    <w:rsid w:val="00176C2F"/>
    <w:rsid w:val="001941CD"/>
    <w:rsid w:val="001958F9"/>
    <w:rsid w:val="00195933"/>
    <w:rsid w:val="001A4E6E"/>
    <w:rsid w:val="001C0E07"/>
    <w:rsid w:val="001F1A3D"/>
    <w:rsid w:val="00223845"/>
    <w:rsid w:val="002354C5"/>
    <w:rsid w:val="002456CC"/>
    <w:rsid w:val="00256489"/>
    <w:rsid w:val="00267D94"/>
    <w:rsid w:val="00273E2B"/>
    <w:rsid w:val="0029027F"/>
    <w:rsid w:val="002935E6"/>
    <w:rsid w:val="002A1A3F"/>
    <w:rsid w:val="002C0C5B"/>
    <w:rsid w:val="002E06B5"/>
    <w:rsid w:val="002F4F15"/>
    <w:rsid w:val="00305152"/>
    <w:rsid w:val="00331537"/>
    <w:rsid w:val="00336466"/>
    <w:rsid w:val="00340FB0"/>
    <w:rsid w:val="00362A55"/>
    <w:rsid w:val="003640FA"/>
    <w:rsid w:val="00370AE1"/>
    <w:rsid w:val="00387814"/>
    <w:rsid w:val="003E0E13"/>
    <w:rsid w:val="003E69C6"/>
    <w:rsid w:val="003F3F68"/>
    <w:rsid w:val="003F7381"/>
    <w:rsid w:val="0040187D"/>
    <w:rsid w:val="0040495E"/>
    <w:rsid w:val="00421463"/>
    <w:rsid w:val="00421839"/>
    <w:rsid w:val="00435332"/>
    <w:rsid w:val="00436F8B"/>
    <w:rsid w:val="00450DAC"/>
    <w:rsid w:val="00454483"/>
    <w:rsid w:val="00466471"/>
    <w:rsid w:val="004901C0"/>
    <w:rsid w:val="004A056B"/>
    <w:rsid w:val="004A40BC"/>
    <w:rsid w:val="004B5FEF"/>
    <w:rsid w:val="004C066E"/>
    <w:rsid w:val="004C60C5"/>
    <w:rsid w:val="004F0EFC"/>
    <w:rsid w:val="004F1DBD"/>
    <w:rsid w:val="004F6F13"/>
    <w:rsid w:val="00503FD8"/>
    <w:rsid w:val="00513490"/>
    <w:rsid w:val="00514C60"/>
    <w:rsid w:val="00516B42"/>
    <w:rsid w:val="00517466"/>
    <w:rsid w:val="00526714"/>
    <w:rsid w:val="005332CF"/>
    <w:rsid w:val="00562BF8"/>
    <w:rsid w:val="00570D20"/>
    <w:rsid w:val="0057532A"/>
    <w:rsid w:val="005A7089"/>
    <w:rsid w:val="005F7A1C"/>
    <w:rsid w:val="0060518E"/>
    <w:rsid w:val="00635729"/>
    <w:rsid w:val="006452EC"/>
    <w:rsid w:val="0066307E"/>
    <w:rsid w:val="006B41DC"/>
    <w:rsid w:val="006B7E9E"/>
    <w:rsid w:val="006E1D4A"/>
    <w:rsid w:val="006F5E34"/>
    <w:rsid w:val="006F6648"/>
    <w:rsid w:val="006F6C9E"/>
    <w:rsid w:val="00743A98"/>
    <w:rsid w:val="00743E52"/>
    <w:rsid w:val="007474EC"/>
    <w:rsid w:val="00791498"/>
    <w:rsid w:val="007924D5"/>
    <w:rsid w:val="007A1B29"/>
    <w:rsid w:val="007B2D06"/>
    <w:rsid w:val="007E3763"/>
    <w:rsid w:val="00805791"/>
    <w:rsid w:val="00810931"/>
    <w:rsid w:val="008169BB"/>
    <w:rsid w:val="008222B9"/>
    <w:rsid w:val="0082299D"/>
    <w:rsid w:val="008417CF"/>
    <w:rsid w:val="00846CB5"/>
    <w:rsid w:val="00853B5D"/>
    <w:rsid w:val="00862789"/>
    <w:rsid w:val="00863D36"/>
    <w:rsid w:val="0088008C"/>
    <w:rsid w:val="00886B88"/>
    <w:rsid w:val="008A1CD6"/>
    <w:rsid w:val="008C10F5"/>
    <w:rsid w:val="008D367C"/>
    <w:rsid w:val="008E5C56"/>
    <w:rsid w:val="00903D09"/>
    <w:rsid w:val="00931A9D"/>
    <w:rsid w:val="00933B1E"/>
    <w:rsid w:val="00972D09"/>
    <w:rsid w:val="009748D9"/>
    <w:rsid w:val="009819E6"/>
    <w:rsid w:val="00981FC0"/>
    <w:rsid w:val="009A2944"/>
    <w:rsid w:val="009A2E94"/>
    <w:rsid w:val="009A3076"/>
    <w:rsid w:val="009C42B4"/>
    <w:rsid w:val="009D7C42"/>
    <w:rsid w:val="00A12995"/>
    <w:rsid w:val="00A15D12"/>
    <w:rsid w:val="00A2506F"/>
    <w:rsid w:val="00A2529B"/>
    <w:rsid w:val="00A27AE9"/>
    <w:rsid w:val="00A31912"/>
    <w:rsid w:val="00A36A69"/>
    <w:rsid w:val="00AA21F9"/>
    <w:rsid w:val="00AC7056"/>
    <w:rsid w:val="00B0711C"/>
    <w:rsid w:val="00B5604E"/>
    <w:rsid w:val="00B56433"/>
    <w:rsid w:val="00B6222C"/>
    <w:rsid w:val="00B9309A"/>
    <w:rsid w:val="00BC27E2"/>
    <w:rsid w:val="00BD4CF5"/>
    <w:rsid w:val="00BF6E3B"/>
    <w:rsid w:val="00C0087A"/>
    <w:rsid w:val="00C21222"/>
    <w:rsid w:val="00C21BF4"/>
    <w:rsid w:val="00C22E70"/>
    <w:rsid w:val="00C23DAC"/>
    <w:rsid w:val="00C27260"/>
    <w:rsid w:val="00C3206C"/>
    <w:rsid w:val="00C33B8B"/>
    <w:rsid w:val="00C36A34"/>
    <w:rsid w:val="00C564E2"/>
    <w:rsid w:val="00C70A49"/>
    <w:rsid w:val="00C769C6"/>
    <w:rsid w:val="00C846E5"/>
    <w:rsid w:val="00C867F0"/>
    <w:rsid w:val="00C9448F"/>
    <w:rsid w:val="00C95931"/>
    <w:rsid w:val="00CA74F5"/>
    <w:rsid w:val="00CB26DD"/>
    <w:rsid w:val="00CF7090"/>
    <w:rsid w:val="00D20BC5"/>
    <w:rsid w:val="00D211EF"/>
    <w:rsid w:val="00D31EA1"/>
    <w:rsid w:val="00DA3E45"/>
    <w:rsid w:val="00DA52B3"/>
    <w:rsid w:val="00DB1E8B"/>
    <w:rsid w:val="00DB5807"/>
    <w:rsid w:val="00DC187A"/>
    <w:rsid w:val="00DD0D38"/>
    <w:rsid w:val="00E14559"/>
    <w:rsid w:val="00E3156A"/>
    <w:rsid w:val="00E550F1"/>
    <w:rsid w:val="00E778E0"/>
    <w:rsid w:val="00E77E6A"/>
    <w:rsid w:val="00E92739"/>
    <w:rsid w:val="00EC208C"/>
    <w:rsid w:val="00ED4CD2"/>
    <w:rsid w:val="00EF3B2E"/>
    <w:rsid w:val="00F02876"/>
    <w:rsid w:val="00F03F9B"/>
    <w:rsid w:val="00F108CC"/>
    <w:rsid w:val="00F13488"/>
    <w:rsid w:val="00F20271"/>
    <w:rsid w:val="00F22E45"/>
    <w:rsid w:val="00F510F3"/>
    <w:rsid w:val="00F55E35"/>
    <w:rsid w:val="00F93C3B"/>
    <w:rsid w:val="00FB0F41"/>
    <w:rsid w:val="00FB5B36"/>
    <w:rsid w:val="00FB760D"/>
    <w:rsid w:val="00FC6438"/>
    <w:rsid w:val="00FC708F"/>
    <w:rsid w:val="00FE1BC1"/>
    <w:rsid w:val="00FF5AC1"/>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11750E0B"/>
    <w:rsid w:val="11DF756D"/>
    <w:rsid w:val="12D54662"/>
    <w:rsid w:val="14526279"/>
    <w:rsid w:val="14FD1ED3"/>
    <w:rsid w:val="15105485"/>
    <w:rsid w:val="16804EAD"/>
    <w:rsid w:val="179709DE"/>
    <w:rsid w:val="17AF1790"/>
    <w:rsid w:val="180A31AF"/>
    <w:rsid w:val="19274F96"/>
    <w:rsid w:val="19C562F8"/>
    <w:rsid w:val="1A2D4DA1"/>
    <w:rsid w:val="1E2D5138"/>
    <w:rsid w:val="1E7DA7D9"/>
    <w:rsid w:val="1EC64618"/>
    <w:rsid w:val="20BD44BC"/>
    <w:rsid w:val="21FB033D"/>
    <w:rsid w:val="22B26945"/>
    <w:rsid w:val="23356984"/>
    <w:rsid w:val="247E6D98"/>
    <w:rsid w:val="265760E8"/>
    <w:rsid w:val="26891582"/>
    <w:rsid w:val="269913A1"/>
    <w:rsid w:val="26FA52AB"/>
    <w:rsid w:val="28315657"/>
    <w:rsid w:val="298363A6"/>
    <w:rsid w:val="2A7C04F4"/>
    <w:rsid w:val="2AF622D9"/>
    <w:rsid w:val="2AF62A2B"/>
    <w:rsid w:val="2E1D74D0"/>
    <w:rsid w:val="2F5E77AE"/>
    <w:rsid w:val="3381789F"/>
    <w:rsid w:val="34873F86"/>
    <w:rsid w:val="37293725"/>
    <w:rsid w:val="37835383"/>
    <w:rsid w:val="379DC94B"/>
    <w:rsid w:val="37E7A59F"/>
    <w:rsid w:val="37F7F22E"/>
    <w:rsid w:val="382320F1"/>
    <w:rsid w:val="3969335F"/>
    <w:rsid w:val="3DBD5743"/>
    <w:rsid w:val="4051347A"/>
    <w:rsid w:val="42CF2A06"/>
    <w:rsid w:val="46110E3A"/>
    <w:rsid w:val="47604E29"/>
    <w:rsid w:val="47B43CD0"/>
    <w:rsid w:val="47D53E94"/>
    <w:rsid w:val="49AD26E9"/>
    <w:rsid w:val="4A7A2FFC"/>
    <w:rsid w:val="4B0C4451"/>
    <w:rsid w:val="4B980F4D"/>
    <w:rsid w:val="4C061D89"/>
    <w:rsid w:val="4C236EDC"/>
    <w:rsid w:val="4D1871FD"/>
    <w:rsid w:val="4DDF3B07"/>
    <w:rsid w:val="4F3C6244"/>
    <w:rsid w:val="503C24D5"/>
    <w:rsid w:val="52003501"/>
    <w:rsid w:val="5229273D"/>
    <w:rsid w:val="55E136F8"/>
    <w:rsid w:val="563D45AD"/>
    <w:rsid w:val="57CECB9A"/>
    <w:rsid w:val="59EB8205"/>
    <w:rsid w:val="5A046115"/>
    <w:rsid w:val="5D7FE5F2"/>
    <w:rsid w:val="5DA55DB8"/>
    <w:rsid w:val="5DF4D9AA"/>
    <w:rsid w:val="5F501E73"/>
    <w:rsid w:val="5F65533F"/>
    <w:rsid w:val="5FECB5D0"/>
    <w:rsid w:val="603E4649"/>
    <w:rsid w:val="620A60D7"/>
    <w:rsid w:val="633D0EC0"/>
    <w:rsid w:val="63DA57EF"/>
    <w:rsid w:val="651D7A0B"/>
    <w:rsid w:val="67F7C57D"/>
    <w:rsid w:val="67FCE2BB"/>
    <w:rsid w:val="6812219A"/>
    <w:rsid w:val="682432E1"/>
    <w:rsid w:val="68DE4E54"/>
    <w:rsid w:val="6BBC79A6"/>
    <w:rsid w:val="6FB575ED"/>
    <w:rsid w:val="6FF7484E"/>
    <w:rsid w:val="70E668D8"/>
    <w:rsid w:val="70FE1522"/>
    <w:rsid w:val="72220251"/>
    <w:rsid w:val="73B34F68"/>
    <w:rsid w:val="74072A45"/>
    <w:rsid w:val="75F747F4"/>
    <w:rsid w:val="765E641A"/>
    <w:rsid w:val="773F63AA"/>
    <w:rsid w:val="7AAC0DEC"/>
    <w:rsid w:val="7ACF251B"/>
    <w:rsid w:val="7BA331FE"/>
    <w:rsid w:val="7BF644A1"/>
    <w:rsid w:val="7BF714DE"/>
    <w:rsid w:val="7C0308AB"/>
    <w:rsid w:val="7C6E60E7"/>
    <w:rsid w:val="7CFF54B4"/>
    <w:rsid w:val="7DDBCE29"/>
    <w:rsid w:val="7ECC4C3E"/>
    <w:rsid w:val="7EF35EDB"/>
    <w:rsid w:val="7EF3E907"/>
    <w:rsid w:val="7F4F5F58"/>
    <w:rsid w:val="7FDB8D09"/>
    <w:rsid w:val="9BD7C4BA"/>
    <w:rsid w:val="A9EDBB1F"/>
    <w:rsid w:val="B6FD84E3"/>
    <w:rsid w:val="BDFD8F63"/>
    <w:rsid w:val="BFFF9DE2"/>
    <w:rsid w:val="CFFFA1E7"/>
    <w:rsid w:val="D7EF778D"/>
    <w:rsid w:val="DE7438B5"/>
    <w:rsid w:val="DFCF3AFA"/>
    <w:rsid w:val="E9F3B69A"/>
    <w:rsid w:val="EAFF95BD"/>
    <w:rsid w:val="ECF22A87"/>
    <w:rsid w:val="EDDF6F92"/>
    <w:rsid w:val="EFFB8F90"/>
    <w:rsid w:val="F7F369FA"/>
    <w:rsid w:val="FB7F271B"/>
    <w:rsid w:val="FC5B6335"/>
    <w:rsid w:val="FDDF3FA1"/>
    <w:rsid w:val="FDEF2974"/>
    <w:rsid w:val="FDFFFCA8"/>
    <w:rsid w:val="FF3F62A9"/>
    <w:rsid w:val="FF9F6162"/>
    <w:rsid w:val="FFFFC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18"/>
    <w:unhideWhenUsed/>
    <w:qFormat/>
    <w:uiPriority w:val="99"/>
    <w:rPr>
      <w:rFonts w:ascii="宋体" w:hAnsi="Courier New" w:cs="Courier New"/>
      <w:szCs w:val="21"/>
    </w:rPr>
  </w:style>
  <w:style w:type="paragraph" w:styleId="5">
    <w:name w:val="Balloon Text"/>
    <w:basedOn w:val="1"/>
    <w:link w:val="19"/>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文字 字符"/>
    <w:link w:val="3"/>
    <w:semiHidden/>
    <w:qFormat/>
    <w:uiPriority w:val="99"/>
    <w:rPr>
      <w:rFonts w:ascii="Times New Roman" w:hAnsi="Times New Roman"/>
      <w:kern w:val="2"/>
      <w:sz w:val="21"/>
      <w:szCs w:val="24"/>
    </w:rPr>
  </w:style>
  <w:style w:type="character" w:customStyle="1" w:styleId="18">
    <w:name w:val="纯文本 字符"/>
    <w:link w:val="4"/>
    <w:qFormat/>
    <w:uiPriority w:val="99"/>
    <w:rPr>
      <w:rFonts w:ascii="宋体" w:hAnsi="Courier New" w:eastAsia="宋体" w:cs="Courier New"/>
      <w:szCs w:val="21"/>
    </w:rPr>
  </w:style>
  <w:style w:type="character" w:customStyle="1" w:styleId="19">
    <w:name w:val="批注框文本 字符"/>
    <w:link w:val="5"/>
    <w:semiHidden/>
    <w:qFormat/>
    <w:uiPriority w:val="99"/>
    <w:rPr>
      <w:rFonts w:ascii="Times New Roman" w:hAnsi="Times New Roman"/>
      <w:kern w:val="2"/>
      <w:sz w:val="18"/>
      <w:szCs w:val="18"/>
    </w:rPr>
  </w:style>
  <w:style w:type="character" w:customStyle="1" w:styleId="20">
    <w:name w:val="页脚 字符"/>
    <w:link w:val="6"/>
    <w:semiHidden/>
    <w:qFormat/>
    <w:uiPriority w:val="99"/>
    <w:rPr>
      <w:sz w:val="18"/>
      <w:szCs w:val="18"/>
    </w:rPr>
  </w:style>
  <w:style w:type="character" w:customStyle="1" w:styleId="21">
    <w:name w:val="页眉 字符"/>
    <w:link w:val="7"/>
    <w:semiHidden/>
    <w:qFormat/>
    <w:uiPriority w:val="99"/>
    <w:rPr>
      <w:sz w:val="18"/>
      <w:szCs w:val="18"/>
    </w:rPr>
  </w:style>
  <w:style w:type="character" w:customStyle="1" w:styleId="22">
    <w:name w:val="正文文本 2 字符"/>
    <w:link w:val="8"/>
    <w:qFormat/>
    <w:uiPriority w:val="99"/>
    <w:rPr>
      <w:rFonts w:ascii="Times New Roman" w:hAnsi="Times New Roman" w:eastAsia="宋体" w:cs="Times New Roman"/>
      <w:b/>
      <w:bCs/>
      <w:sz w:val="28"/>
      <w:szCs w:val="21"/>
    </w:rPr>
  </w:style>
  <w:style w:type="character" w:customStyle="1" w:styleId="23">
    <w:name w:val="批注主题 字符"/>
    <w:link w:val="10"/>
    <w:semiHidden/>
    <w:qFormat/>
    <w:uiPriority w:val="99"/>
    <w:rPr>
      <w:rFonts w:ascii="Times New Roman" w:hAnsi="Times New Roman"/>
      <w:b/>
      <w:bCs/>
      <w:kern w:val="2"/>
      <w:sz w:val="21"/>
      <w:szCs w:val="24"/>
    </w:rPr>
  </w:style>
  <w:style w:type="paragraph" w:customStyle="1" w:styleId="24">
    <w:name w:val="默认段落字体 Para Char"/>
    <w:basedOn w:val="1"/>
    <w:qFormat/>
    <w:uiPriority w:val="0"/>
  </w:style>
  <w:style w:type="paragraph" w:customStyle="1" w:styleId="25">
    <w:name w:val="列表段落1"/>
    <w:basedOn w:val="1"/>
    <w:qFormat/>
    <w:uiPriority w:val="34"/>
    <w:pPr>
      <w:ind w:firstLine="420" w:firstLineChars="200"/>
    </w:pPr>
  </w:style>
  <w:style w:type="paragraph" w:customStyle="1" w:styleId="26">
    <w:name w:val="p0"/>
    <w:basedOn w:val="1"/>
    <w:qFormat/>
    <w:uiPriority w:val="0"/>
    <w:rPr>
      <w:kern w:val="0"/>
      <w:szCs w:val="21"/>
    </w:rPr>
  </w:style>
  <w:style w:type="paragraph" w:customStyle="1" w:styleId="27">
    <w:name w:val="p17"/>
    <w:basedOn w:val="1"/>
    <w:qFormat/>
    <w:uiPriority w:val="0"/>
    <w:pPr>
      <w:spacing w:before="100" w:after="100"/>
      <w:jc w:val="left"/>
    </w:pPr>
    <w:rPr>
      <w:rFonts w:hint="eastAsia" w:ascii="宋体" w:hAnsi="宋体" w:cs="宋体"/>
      <w:kern w:val="0"/>
      <w:sz w:val="24"/>
    </w:rPr>
  </w:style>
  <w:style w:type="paragraph" w:customStyle="1" w:styleId="28">
    <w:name w:val="列表段落2"/>
    <w:basedOn w:val="1"/>
    <w:qFormat/>
    <w:uiPriority w:val="99"/>
    <w:pPr>
      <w:ind w:firstLine="420" w:firstLineChars="200"/>
    </w:pPr>
  </w:style>
  <w:style w:type="character" w:customStyle="1" w:styleId="29">
    <w:name w:val="未处理的提及1"/>
    <w:unhideWhenUsed/>
    <w:qFormat/>
    <w:uiPriority w:val="99"/>
    <w:rPr>
      <w:color w:val="605E5C"/>
      <w:shd w:val="clear" w:color="auto" w:fill="E1DFDD"/>
    </w:r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99"/>
    <w:pPr>
      <w:ind w:firstLine="420" w:firstLineChars="200"/>
    </w:p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1015</Words>
  <Characters>5786</Characters>
  <Lines>48</Lines>
  <Paragraphs>13</Paragraphs>
  <TotalTime>1</TotalTime>
  <ScaleCrop>false</ScaleCrop>
  <LinksUpToDate>false</LinksUpToDate>
  <CharactersWithSpaces>6788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2022-06-08T03:17:00Z</dcterms:created>
  <dc:creator>谢苗</dc:creator>
  <cp:lastModifiedBy>msy</cp:lastModifiedBy>
  <cp:lastPrinted>2020-03-30T21:55:00Z</cp:lastPrinted>
  <dcterms:modified xsi:type="dcterms:W3CDTF">2024-03-13T11:13:30Z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0x010100FB6249FB46A6D149B63A5BB191B37539</vt:lpwstr>
  </property>
  <property fmtid="{D5CDD505-2E9C-101B-9397-08002B2CF9AE}" pid="4" name="ICV">
    <vt:lpwstr>2548CDB65F0A43D29F341DE637D0C4AE_13</vt:lpwstr>
  </property>
</Properties>
</file>