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件2</w:t>
      </w:r>
    </w:p>
    <w:p>
      <w:pPr>
        <w:spacing w:line="360" w:lineRule="auto"/>
        <w:jc w:val="both"/>
        <w:outlineLvl w:val="1"/>
        <w:rPr>
          <w:rFonts w:hint="default" w:ascii="Times New Roman" w:hAnsi="Times New Roman" w:eastAsia="黑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bookmarkStart w:id="0" w:name="_GoBack"/>
      <w:r>
        <w:rPr>
          <w:rFonts w:hint="default" w:ascii="Times New Roman" w:hAnsi="Times New Roman" w:eastAsia="黑体" w:cs="Times New Roman"/>
          <w:bCs/>
          <w:sz w:val="52"/>
          <w:szCs w:val="52"/>
          <w:highlight w:val="none"/>
        </w:rPr>
        <w:t>绿色工厂第三方评价报告</w:t>
      </w:r>
    </w:p>
    <w:bookmarkEnd w:id="0"/>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rPr>
          <w:rFonts w:hint="eastAsia"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工  厂  名  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ind w:firstLine="1928" w:firstLineChars="600"/>
        <w:rPr>
          <w:rFonts w:hint="default" w:ascii="Times New Roman" w:hAnsi="Times New Roman" w:eastAsia="仿宋" w:cs="Times New Roman"/>
          <w:b/>
          <w:sz w:val="32"/>
          <w:szCs w:val="32"/>
          <w:highlight w:val="none"/>
        </w:rPr>
      </w:pPr>
    </w:p>
    <w:p>
      <w:pPr>
        <w:spacing w:line="360" w:lineRule="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rPr>
          <w:rFonts w:hint="default" w:ascii="Times New Roman" w:hAnsi="Times New Roman" w:eastAsia="仿宋"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r>
        <w:rPr>
          <w:rFonts w:hint="default" w:ascii="Times New Roman" w:hAnsi="Times New Roman" w:eastAsia="方正仿宋简体" w:cs="Times New Roman"/>
          <w:sz w:val="32"/>
          <w:highlight w:val="none"/>
        </w:rPr>
        <w:t xml:space="preserve">   </w:t>
      </w:r>
    </w:p>
    <w:p>
      <w:pPr>
        <w:ind w:firstLine="420" w:firstLineChars="150"/>
        <w:rPr>
          <w:rFonts w:hint="default" w:ascii="Times New Roman" w:hAnsi="Times New Roman" w:eastAsia="方正仿宋简体" w:cs="Times New Roman"/>
          <w:sz w:val="28"/>
          <w:highlight w:val="none"/>
        </w:rPr>
      </w:pPr>
    </w:p>
    <w:p>
      <w:pPr>
        <w:spacing w:line="360" w:lineRule="auto"/>
        <w:jc w:val="center"/>
        <w:rPr>
          <w:rFonts w:hint="default" w:ascii="Times New Roman" w:hAnsi="Times New Roman" w:eastAsia="仿宋" w:cs="Times New Roman"/>
          <w:sz w:val="30"/>
          <w:highlight w:val="none"/>
        </w:rPr>
      </w:pPr>
      <w:r>
        <w:rPr>
          <w:rFonts w:hint="default" w:ascii="Times New Roman" w:hAnsi="Times New Roman" w:eastAsia="仿宋" w:cs="Times New Roman"/>
          <w:sz w:val="30"/>
          <w:highlight w:val="none"/>
        </w:rPr>
        <w:t>工业和信息化部制</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0"/>
          <w:highlight w:val="none"/>
        </w:rPr>
        <w:t>20  年    月    日</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207"/>
        <w:gridCol w:w="114"/>
        <w:gridCol w:w="1982"/>
        <w:gridCol w:w="111"/>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所属行业</w:t>
            </w:r>
          </w:p>
        </w:tc>
        <w:tc>
          <w:tcPr>
            <w:tcW w:w="2321" w:type="dxa"/>
            <w:gridSpan w:val="2"/>
            <w:vAlign w:val="center"/>
          </w:tcPr>
          <w:p>
            <w:pPr>
              <w:widowControl/>
              <w:jc w:val="center"/>
              <w:rPr>
                <w:rFonts w:hint="eastAsia" w:ascii="Times New Roman" w:hAnsi="Times New Roman" w:eastAsia="仿宋" w:cs="Times New Roman"/>
                <w:color w:val="000000"/>
                <w:kern w:val="0"/>
                <w:sz w:val="24"/>
                <w:highlight w:val="none"/>
                <w:lang w:eastAsia="zh-CN"/>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982"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lang w:eastAsia="zh-CN"/>
              </w:rPr>
              <w:t>主要产品</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统一社会</w:t>
            </w:r>
          </w:p>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信用代码</w:t>
            </w:r>
          </w:p>
        </w:tc>
        <w:tc>
          <w:tcPr>
            <w:tcW w:w="2207" w:type="dxa"/>
            <w:vAlign w:val="center"/>
          </w:tcPr>
          <w:p>
            <w:pPr>
              <w:widowControl/>
              <w:jc w:val="center"/>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rPr>
            </w:pPr>
            <w:r>
              <w:rPr>
                <w:rFonts w:hint="default" w:ascii="Times New Roman" w:hAnsi="Times New Roman" w:eastAsia="仿宋" w:cs="Times New Roman"/>
                <w:color w:val="000000"/>
                <w:kern w:val="0"/>
                <w:sz w:val="24"/>
                <w:highlight w:val="none"/>
                <w:lang w:val="en-US"/>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负责人电话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基本</w:t>
            </w:r>
            <w:r>
              <w:rPr>
                <w:rFonts w:hint="default" w:ascii="Times New Roman" w:hAnsi="Times New Roman" w:eastAsia="仿宋" w:cs="Times New Roman"/>
                <w:color w:val="000000"/>
                <w:kern w:val="0"/>
                <w:sz w:val="24"/>
                <w:highlight w:val="none"/>
              </w:rPr>
              <w:t>要求</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指标</w:t>
            </w:r>
            <w:r>
              <w:rPr>
                <w:rFonts w:hint="default" w:ascii="Times New Roman" w:hAnsi="Times New Roman" w:eastAsia="仿宋" w:cs="Times New Roman"/>
                <w:color w:val="000000"/>
                <w:kern w:val="0"/>
                <w:sz w:val="24"/>
                <w:highlight w:val="none"/>
                <w:lang w:eastAsia="zh-CN"/>
              </w:rPr>
              <w:t>得分</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亮点</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jc w:val="center"/>
              <w:rPr>
                <w:rFonts w:hint="default" w:ascii="Times New Roman" w:hAnsi="Times New Roman" w:eastAsia="仿宋" w:cs="Times New Roman"/>
                <w:color w:val="000000"/>
                <w:kern w:val="0"/>
                <w:sz w:val="24"/>
                <w:highlight w:val="none"/>
              </w:rPr>
            </w:pPr>
          </w:p>
        </w:tc>
      </w:tr>
    </w:tbl>
    <w:p>
      <w:pPr>
        <w:bidi w:val="0"/>
        <w:rPr>
          <w:rFonts w:hint="default"/>
        </w:rPr>
      </w:pPr>
      <w:r>
        <w:rPr>
          <w:rFonts w:hint="default"/>
        </w:rPr>
        <w:br w:type="page"/>
      </w:r>
    </w:p>
    <w:p>
      <w:pPr>
        <w:snapToGrid w:val="0"/>
        <w:spacing w:line="480" w:lineRule="auto"/>
        <w:jc w:val="center"/>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绿色工厂评价报告（格式）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主要介绍绿色工厂评价的目的、范围及准则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基本信息、发展现状、工艺产品、生产经营状况以及在绿色发展方面开展的重点工作及取得的成绩</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应按以下内容对工厂进行评价：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.对工厂是否存在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对工厂</w:t>
      </w:r>
      <w:r>
        <w:rPr>
          <w:rFonts w:hint="eastAsia" w:ascii="Times New Roman" w:hAnsi="Times New Roman" w:eastAsia="仿宋" w:cs="Times New Roman"/>
          <w:sz w:val="30"/>
          <w:szCs w:val="30"/>
          <w:highlight w:val="none"/>
          <w:lang w:val="en-US" w:eastAsia="zh-CN"/>
        </w:rPr>
        <w:t>是否符合评价标准中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对工厂基础设施、管理体系、能源</w:t>
      </w:r>
      <w:r>
        <w:rPr>
          <w:rFonts w:hint="default" w:ascii="Times New Roman" w:hAnsi="Times New Roman" w:eastAsia="仿宋" w:cs="Times New Roman"/>
          <w:sz w:val="30"/>
          <w:szCs w:val="30"/>
          <w:highlight w:val="none"/>
          <w:lang w:eastAsia="zh-CN"/>
        </w:rPr>
        <w:t>与</w:t>
      </w:r>
      <w:r>
        <w:rPr>
          <w:rFonts w:hint="default" w:ascii="Times New Roman" w:hAnsi="Times New Roman" w:eastAsia="仿宋" w:cs="Times New Roman"/>
          <w:sz w:val="30"/>
          <w:szCs w:val="30"/>
          <w:highlight w:val="none"/>
        </w:rPr>
        <w:t>资源投入、产品、环境排放、绩效等方面内容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ind w:firstLine="600" w:firstLineChars="200"/>
        <w:rPr>
          <w:rFonts w:hint="default" w:ascii="Times New Roman" w:hAnsi="Times New Roman" w:eastAsia="仿宋" w:cs="Times New Roman"/>
          <w:color w:val="000000"/>
          <w:kern w:val="0"/>
          <w:sz w:val="30"/>
          <w:szCs w:val="30"/>
          <w:highlight w:val="none"/>
          <w:lang w:val="en-US" w:eastAsia="zh-CN"/>
        </w:rPr>
      </w:pPr>
      <w:r>
        <w:rPr>
          <w:rFonts w:hint="eastAsia" w:ascii="Times New Roman" w:hAnsi="Times New Roman" w:eastAsia="仿宋" w:cs="Times New Roman"/>
          <w:sz w:val="30"/>
          <w:szCs w:val="30"/>
          <w:highlight w:val="none"/>
          <w:lang w:val="en-US" w:eastAsia="zh-CN"/>
        </w:rPr>
        <w:t>4.工厂在“零碳”工厂创建方面开展的工作情况（加分项）。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对工厂是否符合绿色工厂要求进行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对工厂持续创建绿色工厂的下一步工作提出建议。</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七、第三方机构资质符合性证明材料</w:t>
      </w:r>
    </w:p>
    <w:p>
      <w:pPr>
        <w:ind w:firstLine="600" w:firstLineChars="200"/>
        <w:rPr>
          <w:rFonts w:hint="eastAsia" w:eastAsiaTheme="minorEastAsia"/>
          <w:highlight w:val="none"/>
          <w:lang w:val="en-US" w:eastAsia="zh-CN"/>
        </w:rPr>
        <w:sectPr>
          <w:footerReference r:id="rId3" w:type="default"/>
          <w:pgSz w:w="11906" w:h="16838"/>
          <w:pgMar w:top="1701" w:right="1587" w:bottom="1587" w:left="1587" w:header="851" w:footer="850"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z w:val="30"/>
          <w:szCs w:val="30"/>
          <w:highlight w:val="none"/>
        </w:rPr>
        <w:t>列出第三方机构满足条件的资质符合性证明材料。</w:t>
      </w: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.1</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w:t>
      </w:r>
      <w:r>
        <w:rPr>
          <w:rFonts w:hint="default" w:ascii="Times New Roman" w:hAnsi="Times New Roman" w:eastAsia="黑体" w:cs="Times New Roman"/>
          <w:bCs/>
          <w:sz w:val="36"/>
          <w:szCs w:val="36"/>
          <w:highlight w:val="none"/>
          <w:lang w:eastAsia="zh-CN"/>
        </w:rPr>
        <w:t>基本要求第三方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5"/>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270" w:hRule="atLeast"/>
          <w:tblHeader/>
        </w:trPr>
        <w:tc>
          <w:tcPr>
            <w:tcW w:w="8435" w:type="dxa"/>
            <w:gridSpan w:val="2"/>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基本要求</w:t>
            </w:r>
          </w:p>
        </w:tc>
        <w:tc>
          <w:tcPr>
            <w:tcW w:w="1392" w:type="dxa"/>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是否符合</w:t>
            </w:r>
          </w:p>
        </w:tc>
        <w:tc>
          <w:tcPr>
            <w:tcW w:w="428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81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w:t>
            </w:r>
            <w:r>
              <w:rPr>
                <w:rFonts w:hint="default" w:ascii="Times New Roman" w:hAnsi="Times New Roman" w:eastAsia="仿宋" w:cs="Times New Roman"/>
                <w:sz w:val="24"/>
                <w:szCs w:val="24"/>
                <w:highlight w:val="none"/>
              </w:rPr>
              <w:t>合规性与相关方要求</w:t>
            </w: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绿色工厂应依法设立，在建设和生产过程中应遵守有关法律、法规、政策和标准。</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745"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近三年（含成立不足三年）无较大及以上安全、环保、质量等事故。</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对利益相关方的环境要求做出承诺的，应同时满足有关承诺的要求。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基础管理职责——最高管理者</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val="en-US" w:eastAsia="zh-CN"/>
              </w:rPr>
              <w:t>最高管理者在绿色工厂方面的领导作用和承诺满足GB/T 36132中4.3.1 a)的要求。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eastAsia="zh-CN"/>
              </w:rPr>
              <w:t>最高管理者</w:t>
            </w:r>
            <w:r>
              <w:rPr>
                <w:rFonts w:hint="default" w:ascii="Times New Roman" w:hAnsi="Times New Roman" w:eastAsia="仿宋" w:cs="Times New Roman"/>
                <w:kern w:val="2"/>
                <w:sz w:val="24"/>
                <w:szCs w:val="24"/>
                <w:highlight w:val="none"/>
              </w:rPr>
              <w:t>确保在工厂内部分配并沟通与绿色工厂相关角色的职责和权限</w:t>
            </w:r>
            <w:r>
              <w:rPr>
                <w:rFonts w:hint="default" w:ascii="Times New Roman" w:hAnsi="Times New Roman" w:eastAsia="仿宋" w:cs="Times New Roman"/>
                <w:kern w:val="2"/>
                <w:sz w:val="24"/>
                <w:szCs w:val="24"/>
                <w:highlight w:val="none"/>
                <w:lang w:eastAsia="zh-CN"/>
              </w:rPr>
              <w:t>，且满</w:t>
            </w:r>
            <w:r>
              <w:rPr>
                <w:rFonts w:hint="default" w:ascii="Times New Roman" w:hAnsi="Times New Roman" w:eastAsia="仿宋" w:cs="Times New Roman"/>
                <w:kern w:val="2"/>
                <w:sz w:val="24"/>
                <w:szCs w:val="24"/>
                <w:highlight w:val="none"/>
                <w:lang w:val="en-US" w:eastAsia="zh-CN"/>
              </w:rPr>
              <w:t>足GB/T 36132中4.3.1 b)的要求。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基础管理职责——工厂</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应设有绿色工厂管理机构，负责有关绿色工厂的制度建设、实施、考核及奖励工作，建立目标责任制。</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应有开展绿色</w:t>
            </w:r>
            <w:r>
              <w:rPr>
                <w:rFonts w:hint="default" w:ascii="Times New Roman" w:hAnsi="Times New Roman" w:eastAsia="仿宋" w:cs="Times New Roman"/>
                <w:kern w:val="2"/>
                <w:sz w:val="24"/>
                <w:szCs w:val="24"/>
                <w:highlight w:val="none"/>
                <w:lang w:eastAsia="zh-CN"/>
              </w:rPr>
              <w:t>工厂</w:t>
            </w:r>
            <w:r>
              <w:rPr>
                <w:rFonts w:hint="default" w:ascii="Times New Roman" w:hAnsi="Times New Roman" w:eastAsia="仿宋" w:cs="Times New Roman"/>
                <w:kern w:val="2"/>
                <w:sz w:val="24"/>
                <w:szCs w:val="24"/>
                <w:highlight w:val="none"/>
              </w:rPr>
              <w:t>的中长期规划及年度目标、指标和实施方案。可行时，指标应明确且可量化。</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应传播绿色制造的概念和知识，定期为员工提供绿色制造相关知识的教育、培训，并对教育和培训的结果进行考评</w:t>
            </w:r>
            <w:r>
              <w:rPr>
                <w:rFonts w:hint="default" w:ascii="Times New Roman" w:hAnsi="Times New Roman" w:eastAsia="仿宋" w:cs="Times New Roman"/>
                <w:kern w:val="2"/>
                <w:sz w:val="24"/>
                <w:szCs w:val="24"/>
                <w:highlight w:val="none"/>
                <w:lang w:eastAsia="zh-CN"/>
              </w:rPr>
              <w:t>。</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bl>
    <w:p>
      <w:pPr>
        <w:ind w:firstLine="0" w:firstLineChars="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0"/>
          <w:szCs w:val="30"/>
          <w:highlight w:val="none"/>
          <w:lang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.2</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绿色工厂评价指标</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5"/>
        <w:tblW w:w="14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4"/>
        <w:gridCol w:w="1135"/>
        <w:gridCol w:w="1135"/>
        <w:gridCol w:w="4960"/>
        <w:gridCol w:w="2404"/>
        <w:gridCol w:w="3"/>
        <w:gridCol w:w="1275"/>
        <w:gridCol w:w="851"/>
        <w:gridCol w:w="82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blHeader/>
        </w:trPr>
        <w:tc>
          <w:tcPr>
            <w:tcW w:w="704" w:type="dxa"/>
            <w:vAlign w:val="center"/>
          </w:tcPr>
          <w:p>
            <w:pPr>
              <w:widowControl/>
              <w:jc w:val="center"/>
              <w:rPr>
                <w:rFonts w:hint="default" w:ascii="Times New Roman" w:hAnsi="Times New Roman" w:eastAsia="仿宋" w:cs="Times New Roman"/>
                <w:b/>
                <w:bCs/>
                <w:kern w:val="0"/>
                <w:sz w:val="24"/>
                <w:szCs w:val="24"/>
                <w:highlight w:val="none"/>
              </w:rPr>
            </w:pPr>
            <w:r>
              <w:rPr>
                <w:rFonts w:hint="default" w:ascii="Times New Roman" w:hAnsi="Times New Roman" w:eastAsia="仿宋" w:cs="Times New Roman"/>
                <w:b/>
                <w:bCs/>
                <w:sz w:val="24"/>
                <w:szCs w:val="24"/>
                <w:highlight w:val="none"/>
              </w:rPr>
              <w:t>序号</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一级指标</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二级指标</w:t>
            </w:r>
          </w:p>
        </w:tc>
        <w:tc>
          <w:tcPr>
            <w:tcW w:w="496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lang w:eastAsia="zh-CN"/>
              </w:rPr>
              <w:t>具体评价</w:t>
            </w:r>
            <w:r>
              <w:rPr>
                <w:rFonts w:hint="default" w:ascii="Times New Roman" w:hAnsi="Times New Roman" w:eastAsia="仿宋" w:cs="Times New Roman"/>
                <w:b/>
                <w:bCs/>
                <w:sz w:val="24"/>
                <w:szCs w:val="24"/>
                <w:highlight w:val="none"/>
              </w:rPr>
              <w:t>要求</w:t>
            </w:r>
          </w:p>
        </w:tc>
        <w:tc>
          <w:tcPr>
            <w:tcW w:w="2407" w:type="dxa"/>
            <w:gridSpan w:val="2"/>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c>
          <w:tcPr>
            <w:tcW w:w="127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要求类型</w:t>
            </w:r>
          </w:p>
        </w:tc>
        <w:tc>
          <w:tcPr>
            <w:tcW w:w="85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分值</w:t>
            </w:r>
          </w:p>
        </w:tc>
        <w:tc>
          <w:tcPr>
            <w:tcW w:w="822"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权重</w:t>
            </w:r>
          </w:p>
        </w:tc>
        <w:tc>
          <w:tcPr>
            <w:tcW w:w="788"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基础设施</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工厂的建筑应满足国家或地方相关法律法规及标准的要求。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新建、改建和扩建建筑时，应遵守国家“固定资产投资项目节能评估审查制度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三同时制度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工业项目建设用地控制指标”等产业政策和有关要求。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厂房内部装饰装修材料中醛、苯、氨、氡等有害物质</w:t>
            </w:r>
            <w:r>
              <w:rPr>
                <w:rFonts w:hint="default" w:ascii="Times New Roman" w:hAnsi="Times New Roman" w:eastAsia="仿宋" w:cs="Times New Roman"/>
                <w:sz w:val="24"/>
                <w:szCs w:val="24"/>
                <w:highlight w:val="none"/>
                <w:lang w:eastAsia="zh-CN"/>
              </w:rPr>
              <w:t>应</w:t>
            </w:r>
            <w:r>
              <w:rPr>
                <w:rFonts w:hint="default" w:ascii="Times New Roman" w:hAnsi="Times New Roman" w:eastAsia="仿宋" w:cs="Times New Roman"/>
                <w:sz w:val="24"/>
                <w:szCs w:val="24"/>
                <w:highlight w:val="none"/>
              </w:rPr>
              <w:t>符合国家和地方法律、标准要求。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危险品仓库、有毒有害操作间、废弃物处理间等产生污染物的房间应独立设置。</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建筑结构：采用钢结构、砌体结构和木结构等资源消耗和环境影响小的建筑结构体系。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再生资源及能源利用：（1）可再生能源的使用占建筑总能耗的比例大于10%；（2）采用节水器具和设备，节水率不低于10%。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适用时，工厂的厂房采用多层建筑。</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照明</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人工照明</w:t>
            </w:r>
            <w:r>
              <w:rPr>
                <w:rFonts w:hint="default" w:ascii="Times New Roman" w:hAnsi="Times New Roman" w:eastAsia="仿宋" w:cs="Times New Roman"/>
                <w:kern w:val="0"/>
                <w:sz w:val="24"/>
                <w:highlight w:val="none"/>
              </w:rPr>
              <w:t>应符合GB 50034规定。</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7</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不同场所的照明应进行分级设计。</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工厂厂区及各房间或场所的照明尽量利用自然光。</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工艺适用时，节能灯等节能型照明设备的使用占比不低于50%。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公共场所的照明采取分区、分组与定时自动调光等措施。</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设备</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设施</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专用设备应符合产业准入要求，降低能源与资源消耗，减少污染物排放</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适用时，</w:t>
            </w:r>
            <w:r>
              <w:rPr>
                <w:rFonts w:hint="default" w:ascii="Times New Roman" w:hAnsi="Times New Roman" w:eastAsia="仿宋" w:cs="Times New Roman"/>
                <w:kern w:val="0"/>
                <w:sz w:val="24"/>
                <w:szCs w:val="24"/>
                <w:highlight w:val="none"/>
              </w:rPr>
              <w:t>工厂使用的</w:t>
            </w:r>
            <w:r>
              <w:rPr>
                <w:rFonts w:hint="default" w:ascii="Times New Roman" w:hAnsi="Times New Roman" w:eastAsia="仿宋" w:cs="Times New Roman"/>
                <w:kern w:val="0"/>
                <w:sz w:val="24"/>
                <w:szCs w:val="24"/>
                <w:highlight w:val="none"/>
                <w:lang w:eastAsia="zh-CN"/>
              </w:rPr>
              <w:t>通用</w:t>
            </w:r>
            <w:r>
              <w:rPr>
                <w:rFonts w:hint="default" w:ascii="Times New Roman" w:hAnsi="Times New Roman" w:eastAsia="仿宋" w:cs="Times New Roman"/>
                <w:kern w:val="0"/>
                <w:sz w:val="24"/>
                <w:szCs w:val="24"/>
                <w:highlight w:val="none"/>
              </w:rPr>
              <w:t>设备应达到相关标准中能效限定值的强制性要求。已明令禁止生产、使用的和能耗高、效率低的设备应限期淘汰更新</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通用设备或其系统的实际运行效率或主要运行参数应符合该设备经济运行的要求。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pStyle w:val="7"/>
              <w:autoSpaceDE w:val="0"/>
              <w:autoSpaceDN w:val="0"/>
              <w:adjustRightInd w:val="0"/>
              <w:spacing w:before="0" w:beforeLines="0" w:beforeAutospacing="0" w:after="0" w:afterLines="0" w:afterAutospacing="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szCs w:val="22"/>
                <w:highlight w:val="none"/>
              </w:rPr>
              <w:t>工厂应依据GB 17167、GB</w:t>
            </w:r>
            <w:r>
              <w:rPr>
                <w:rFonts w:hint="eastAsia" w:ascii="Times New Roman" w:hAnsi="Times New Roman" w:eastAsia="仿宋" w:cs="Times New Roman"/>
                <w:szCs w:val="22"/>
                <w:highlight w:val="none"/>
                <w:lang w:val="en-US" w:eastAsia="zh-CN"/>
              </w:rPr>
              <w:t xml:space="preserve"> </w:t>
            </w:r>
            <w:r>
              <w:rPr>
                <w:rFonts w:hint="default" w:ascii="Times New Roman" w:hAnsi="Times New Roman" w:eastAsia="仿宋" w:cs="Times New Roman"/>
                <w:szCs w:val="22"/>
                <w:highlight w:val="none"/>
              </w:rPr>
              <w:t>24789等要求配备、使用和管理能源、水以及其他资源的计量器具和装置。</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lang w:eastAsia="zh-CN"/>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工厂使用的通用用能设备采用了节能型产品或效率高、能耗低、水耗低、物耗低的产品。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管理体系</w:t>
            </w: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一般</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要求</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19001的要求的质量管理体系。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通过质量管理体系第三方认证。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28001要求的职业健康安全管理体系。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通过职业健康安全管理体系第三方认证。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24001要求的环境管理体系。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通过环境管理体系第三方认证。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23331要求的能源管理体系。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通过能源管理体系第三方认证。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社会</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责任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每年发布社会责任报告，说明履行利益相关方责任的情况，特别是环境社会责任的履行情况，报告公开可获得。</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能源资源投入</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highlight w:val="none"/>
                <w:lang w:val="en-US" w:eastAsia="zh-CN"/>
              </w:rPr>
              <w:t>工厂应优化用能结构，在保证安全、质量的前提下减少不可再生能源投入。</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建有能源管理中心。</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建有厂区光伏电站、智能微电网。</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使用了低碳清洁的新能源。</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使用可再生能源代替不可再生能源。</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充分利用余热余压。</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资源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工厂应按照GB/T 7119的要求对其开展节水评价工作，且满足GB/T 18916（所有部分）中对应本行业的取水定额要求。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工厂应减少材料</w:t>
            </w:r>
            <w:r>
              <w:rPr>
                <w:rFonts w:hint="eastAsia" w:ascii="Times New Roman" w:hAnsi="Times New Roman" w:eastAsia="仿宋" w:cs="Times New Roman"/>
                <w:kern w:val="0"/>
                <w:sz w:val="24"/>
                <w:highlight w:val="none"/>
                <w:lang w:eastAsia="zh-CN"/>
              </w:rPr>
              <w:t>，尤其是</w:t>
            </w:r>
            <w:r>
              <w:rPr>
                <w:rFonts w:hint="default" w:ascii="Times New Roman" w:hAnsi="Times New Roman" w:eastAsia="仿宋" w:cs="Times New Roman"/>
                <w:kern w:val="0"/>
                <w:sz w:val="24"/>
                <w:highlight w:val="none"/>
              </w:rPr>
              <w:t>有害物质的使用</w:t>
            </w:r>
            <w:r>
              <w:rPr>
                <w:rFonts w:hint="default" w:ascii="Times New Roman" w:hAnsi="Times New Roman" w:eastAsia="仿宋" w:cs="Times New Roman"/>
                <w:kern w:val="0"/>
                <w:sz w:val="24"/>
                <w:highlight w:val="none"/>
                <w:lang w:eastAsia="zh-CN"/>
              </w:rPr>
              <w:t>，</w:t>
            </w:r>
            <w:r>
              <w:rPr>
                <w:rFonts w:hint="default" w:ascii="Times New Roman" w:hAnsi="Times New Roman" w:eastAsia="仿宋" w:cs="Times New Roman"/>
                <w:kern w:val="0"/>
                <w:sz w:val="24"/>
                <w:highlight w:val="none"/>
              </w:rPr>
              <w:t>评估有害物质及化学品减量使用或替代的可行性</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szCs w:val="24"/>
                <w:highlight w:val="none"/>
              </w:rPr>
              <w:t>工厂应按照GB/T 29115的要求对其原材料使用量的减少进行评价。</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使用回收料、可回收材料替代原生材料、不可回收材料。</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替代或减少全球增温潜势较高温室气体的使用。</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采购</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工厂应制定并实施包括环保要求的选择、评价和重新评价供方的准则</w:t>
            </w:r>
            <w:r>
              <w:rPr>
                <w:rFonts w:hint="default" w:ascii="Times New Roman" w:hAnsi="Times New Roman" w:eastAsia="仿宋" w:cs="Times New Roman"/>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工厂应确定并实施检验或其他必要的活动，以确保采购的产品满足规定的采购要求。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工厂向供方提供的采购信息包含有害物质使用、可回收材料使用、能效等环保要求。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满足绿色供应链评价要求。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产品</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生态</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设计</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工厂在产品设计中引入生态设计的理念。</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按照GB/T 24256对生产的产品进行生态设计</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32161对生产的产品进行生态设计产品评价，满足绿色产品（生态设计产品）评价要求。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有害物质使用</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w:t>
            </w:r>
            <w:r>
              <w:rPr>
                <w:rFonts w:hint="default" w:ascii="Times New Roman" w:hAnsi="Times New Roman" w:eastAsia="仿宋" w:cs="Times New Roman"/>
                <w:sz w:val="24"/>
                <w:szCs w:val="24"/>
                <w:highlight w:val="none"/>
                <w:lang w:eastAsia="zh-CN"/>
              </w:rPr>
              <w:t>（包括原料和辅料）</w:t>
            </w:r>
            <w:r>
              <w:rPr>
                <w:rFonts w:hint="default" w:ascii="Times New Roman" w:hAnsi="Times New Roman" w:eastAsia="仿宋" w:cs="Times New Roman"/>
                <w:sz w:val="24"/>
                <w:szCs w:val="24"/>
                <w:highlight w:val="none"/>
              </w:rPr>
              <w:t>应减少有害物质的使用，避免有害物质的泄露，满足国家对产品中有害物质限制使用的要求。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实现有害物质替代</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节能</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工厂生产的产品若为用能产品或在使用过程中对最终产品/构造的能耗有影响的产品，适用时，应满足相关标准的限定值要求</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未制定标准的，产品能效应不低于行业平均值。</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达到</w:t>
            </w:r>
            <w:r>
              <w:rPr>
                <w:rFonts w:hint="default" w:ascii="Times New Roman" w:hAnsi="Times New Roman" w:eastAsia="仿宋" w:cs="Times New Roman"/>
                <w:kern w:val="0"/>
                <w:sz w:val="24"/>
                <w:highlight w:val="none"/>
                <w:lang w:eastAsia="zh-CN"/>
              </w:rPr>
              <w:t>相关</w:t>
            </w:r>
            <w:r>
              <w:rPr>
                <w:rFonts w:hint="default" w:ascii="Times New Roman" w:hAnsi="Times New Roman" w:eastAsia="仿宋" w:cs="Times New Roman"/>
                <w:kern w:val="0"/>
                <w:sz w:val="24"/>
                <w:highlight w:val="none"/>
              </w:rPr>
              <w:t>标准中的</w:t>
            </w:r>
            <w:r>
              <w:rPr>
                <w:rFonts w:hint="default" w:ascii="Times New Roman" w:hAnsi="Times New Roman" w:eastAsia="仿宋" w:cs="Times New Roman"/>
                <w:kern w:val="0"/>
                <w:sz w:val="24"/>
                <w:highlight w:val="none"/>
                <w:lang w:eastAsia="zh-CN"/>
              </w:rPr>
              <w:t>节能评价值</w:t>
            </w:r>
            <w:r>
              <w:rPr>
                <w:rFonts w:hint="default" w:ascii="Times New Roman" w:hAnsi="Times New Roman" w:eastAsia="仿宋" w:cs="Times New Roman"/>
                <w:kern w:val="0"/>
                <w:sz w:val="24"/>
                <w:highlight w:val="none"/>
                <w:lang w:val="en-US" w:eastAsia="zh-CN"/>
              </w:rPr>
              <w:t>/</w:t>
            </w:r>
            <w:r>
              <w:rPr>
                <w:rFonts w:hint="default" w:ascii="Times New Roman" w:hAnsi="Times New Roman" w:eastAsia="仿宋" w:cs="Times New Roman"/>
                <w:kern w:val="0"/>
                <w:sz w:val="24"/>
                <w:highlight w:val="none"/>
                <w:lang w:eastAsia="zh-CN"/>
              </w:rPr>
              <w:t>先进</w:t>
            </w:r>
            <w:r>
              <w:rPr>
                <w:rFonts w:hint="default" w:ascii="Times New Roman" w:hAnsi="Times New Roman" w:eastAsia="仿宋" w:cs="Times New Roman"/>
                <w:kern w:val="0"/>
                <w:sz w:val="24"/>
                <w:highlight w:val="none"/>
              </w:rPr>
              <w:t>值要求，未制定标准的，产品能效达到行业前20%的水平</w:t>
            </w:r>
            <w:r>
              <w:rPr>
                <w:rFonts w:hint="default" w:ascii="Times New Roman" w:hAnsi="Times New Roman" w:eastAsia="仿宋" w:cs="Times New Roman"/>
                <w:kern w:val="0"/>
                <w:sz w:val="24"/>
                <w:highlight w:val="none"/>
                <w:lang w:eastAsia="zh-CN"/>
              </w:rPr>
              <w:t>，前</w:t>
            </w:r>
            <w:r>
              <w:rPr>
                <w:rFonts w:hint="default" w:ascii="Times New Roman" w:hAnsi="Times New Roman" w:eastAsia="仿宋" w:cs="Times New Roman"/>
                <w:kern w:val="0"/>
                <w:sz w:val="24"/>
                <w:highlight w:val="none"/>
                <w:lang w:val="en-US" w:eastAsia="zh-CN"/>
              </w:rPr>
              <w:t>5%为满分</w:t>
            </w:r>
            <w:r>
              <w:rPr>
                <w:rFonts w:hint="default" w:ascii="Times New Roman" w:hAnsi="Times New Roman" w:eastAsia="仿宋" w:cs="Times New Roman"/>
                <w:kern w:val="0"/>
                <w:sz w:val="24"/>
                <w:highlight w:val="none"/>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减碳</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采用适用的标准或规范对产品进行碳足迹核算或核查。</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利用核算或核查结果对其产品的碳足迹进行改善。</w:t>
            </w:r>
            <w:r>
              <w:rPr>
                <w:rFonts w:hint="default" w:ascii="Times New Roman" w:hAnsi="Times New Roman" w:eastAsia="仿宋" w:cs="Times New Roman"/>
                <w:kern w:val="0"/>
                <w:sz w:val="24"/>
                <w:highlight w:val="none"/>
                <w:lang w:eastAsia="zh-CN"/>
              </w:rPr>
              <w:t>核算</w:t>
            </w:r>
            <w:r>
              <w:rPr>
                <w:rFonts w:hint="default" w:ascii="Times New Roman" w:hAnsi="Times New Roman" w:eastAsia="仿宋" w:cs="Times New Roman"/>
                <w:kern w:val="0"/>
                <w:sz w:val="24"/>
                <w:highlight w:val="none"/>
              </w:rPr>
              <w:t>或核查结果对外公布。</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适用时，产品满足相关低碳产品要求。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可回收利用率</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按照GB/T 20862的要求计算其产品的可回收利用率。</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利用计算结果对产品的可回收利用率进行改善。</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5</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环境排放</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大气污染物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工厂的大气污染物排放应符合相关国家标准、行业标准及地方标准要求，并满足区域内排放总量控制要求。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w:t>
            </w:r>
            <w:r>
              <w:rPr>
                <w:rFonts w:hint="default" w:ascii="Times New Roman" w:hAnsi="Times New Roman" w:eastAsia="仿宋" w:cs="Times New Roman"/>
                <w:kern w:val="0"/>
                <w:sz w:val="24"/>
                <w:highlight w:val="none"/>
              </w:rPr>
              <w:t>大气污染物排放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jc w:val="cente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水体污染物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主要水体</w:t>
            </w:r>
            <w:r>
              <w:rPr>
                <w:rFonts w:hint="default" w:ascii="Times New Roman" w:hAnsi="Times New Roman" w:eastAsia="仿宋" w:cs="Times New Roman"/>
                <w:kern w:val="0"/>
                <w:sz w:val="24"/>
                <w:highlight w:val="none"/>
              </w:rPr>
              <w:t>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固体废</w:t>
            </w:r>
            <w:r>
              <w:rPr>
                <w:rFonts w:hint="default" w:ascii="Times New Roman" w:hAnsi="Times New Roman" w:eastAsia="仿宋" w:cs="Times New Roman"/>
                <w:sz w:val="24"/>
                <w:szCs w:val="24"/>
                <w:highlight w:val="none"/>
                <w:lang w:eastAsia="zh-CN"/>
              </w:rPr>
              <w:t>弃</w:t>
            </w:r>
            <w:r>
              <w:rPr>
                <w:rFonts w:hint="default" w:ascii="Times New Roman" w:hAnsi="Times New Roman" w:eastAsia="仿宋" w:cs="Times New Roman"/>
                <w:sz w:val="24"/>
                <w:szCs w:val="24"/>
                <w:highlight w:val="none"/>
              </w:rPr>
              <w:t>物</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噪声</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工厂的厂界环境噪声排放应符合相关国家标准、行业标准及地方标准要求。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温室</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气体</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工厂应采用GB/T 32150或适用的标准或规范对其厂界范围内的温室气体排放进行核算和报告。</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获得温室气体排放量第三方核查声明。</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核查结果对外公布。</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可行时，利用核算或核查结果对其温室气体的排放进行改善。</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绩效</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用地集约化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应不低于《工业项目建设用地控制指标》的要求。</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达到《工业项目建设用地控制指标》要求的1.2倍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36132附录A计算工厂建筑密度，建筑密度不低于30%。</w:t>
            </w:r>
          </w:p>
        </w:tc>
        <w:tc>
          <w:tcPr>
            <w:tcW w:w="2407" w:type="dxa"/>
            <w:gridSpan w:val="2"/>
            <w:vMerge w:val="restart"/>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w:t>
            </w:r>
            <w:r>
              <w:rPr>
                <w:rFonts w:hint="default" w:ascii="Times New Roman" w:hAnsi="Times New Roman" w:eastAsia="仿宋" w:cs="Times New Roman"/>
                <w:sz w:val="24"/>
                <w:szCs w:val="24"/>
                <w:highlight w:val="none"/>
                <w:lang w:eastAsia="zh-CN"/>
              </w:rPr>
              <w:t>达到</w:t>
            </w:r>
            <w:r>
              <w:rPr>
                <w:rFonts w:hint="default" w:ascii="Times New Roman" w:hAnsi="Times New Roman" w:eastAsia="仿宋" w:cs="Times New Roman"/>
                <w:sz w:val="24"/>
                <w:szCs w:val="24"/>
                <w:highlight w:val="none"/>
                <w:lang w:val="en-US" w:eastAsia="zh-CN"/>
              </w:rPr>
              <w:t>4</w:t>
            </w:r>
            <w:r>
              <w:rPr>
                <w:rFonts w:hint="default" w:ascii="Times New Roman" w:hAnsi="Times New Roman" w:eastAsia="仿宋" w:cs="Times New Roman"/>
                <w:sz w:val="24"/>
                <w:szCs w:val="24"/>
                <w:highlight w:val="none"/>
              </w:rPr>
              <w:t>0%。</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工厂的单位用地面积产能应不低于行业平均水平</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default" w:ascii="Times New Roman" w:hAnsi="Times New Roman" w:eastAsia="仿宋" w:cs="Times New Roman"/>
                <w:sz w:val="24"/>
                <w:szCs w:val="24"/>
                <w:highlight w:val="none"/>
                <w:lang w:eastAsia="zh-CN"/>
              </w:rPr>
              <w:t>。</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工厂的单位用地面积产能指标优于行业前20%</w:t>
            </w:r>
            <w:r>
              <w:rPr>
                <w:rFonts w:hint="default" w:ascii="Times New Roman" w:hAnsi="Times New Roman" w:eastAsia="仿宋" w:cs="Times New Roman"/>
                <w:sz w:val="24"/>
                <w:szCs w:val="24"/>
                <w:highlight w:val="none"/>
                <w:lang w:eastAsia="zh-CN"/>
              </w:rPr>
              <w:t>，前</w:t>
            </w:r>
            <w:r>
              <w:rPr>
                <w:rFonts w:hint="default" w:ascii="Times New Roman" w:hAnsi="Times New Roman" w:eastAsia="仿宋" w:cs="Times New Roman"/>
                <w:sz w:val="24"/>
                <w:szCs w:val="24"/>
                <w:highlight w:val="none"/>
                <w:lang w:val="en-US" w:eastAsia="zh-CN"/>
              </w:rPr>
              <w:t>5%为满分</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或：单位用地面积产值达到地方发布的单位用地面积产值的要求的1.</w:t>
            </w: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cs="Times New Roman"/>
                <w:sz w:val="24"/>
                <w:szCs w:val="24"/>
                <w:highlight w:val="none"/>
              </w:rPr>
              <w:t>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rPr>
              <w:t>；未发布单位用地面积产值的地区，单位用地面积产值应达到本年度所在省市的单位用地面积产值1.2倍及以上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lang w:eastAsia="zh-CN"/>
              </w:rPr>
              <w:t>。</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原料无害化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36132附录A识别、统计和计算工厂的绿色物料使用情况。</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w:t>
            </w:r>
            <w:r>
              <w:rPr>
                <w:rFonts w:hint="default" w:ascii="Times New Roman" w:hAnsi="Times New Roman" w:eastAsia="仿宋" w:cs="Times New Roman"/>
                <w:sz w:val="24"/>
                <w:szCs w:val="24"/>
                <w:highlight w:val="none"/>
                <w:lang w:eastAsia="zh-CN"/>
              </w:rPr>
              <w:t>计算工厂主要物料的绿</w:t>
            </w:r>
            <w:r>
              <w:rPr>
                <w:rFonts w:hint="default" w:ascii="Times New Roman" w:hAnsi="Times New Roman" w:eastAsia="仿宋" w:cs="Times New Roman"/>
                <w:sz w:val="24"/>
                <w:szCs w:val="24"/>
                <w:highlight w:val="none"/>
              </w:rPr>
              <w:t>色物料使用率达30%及以上。</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生产洁净化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废物资源化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应大于65%（根据行业特点，该指标可在±20%之间选取）。</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达到73%（根据行业特点，该指标可在±20%之间选取），90%为满分。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高于行业平均值。</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能源低碳化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748" w:hRule="atLeast"/>
        </w:trPr>
        <w:tc>
          <w:tcPr>
            <w:tcW w:w="2974" w:type="dxa"/>
            <w:gridSpan w:val="3"/>
            <w:vAlign w:val="center"/>
          </w:tcPr>
          <w:p>
            <w:pPr>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加分项</w:t>
            </w:r>
          </w:p>
        </w:tc>
        <w:tc>
          <w:tcPr>
            <w:tcW w:w="4960" w:type="dxa"/>
            <w:vAlign w:val="center"/>
          </w:tcPr>
          <w:p>
            <w:pPr>
              <w:jc w:val="center"/>
              <w:rPr>
                <w:rFonts w:hint="default"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“零碳”工厂创建方面开展的工作情况</w:t>
            </w:r>
          </w:p>
        </w:tc>
        <w:tc>
          <w:tcPr>
            <w:tcW w:w="2404" w:type="dxa"/>
            <w:vAlign w:val="center"/>
          </w:tcPr>
          <w:p>
            <w:pPr>
              <w:jc w:val="center"/>
              <w:rPr>
                <w:rFonts w:hint="eastAsia" w:ascii="Times New Roman" w:hAnsi="Times New Roman" w:eastAsia="仿宋" w:cs="Times New Roman"/>
                <w:color w:val="000000"/>
                <w:sz w:val="24"/>
                <w:szCs w:val="24"/>
                <w:highlight w:val="yellow"/>
                <w:lang w:eastAsia="zh-CN"/>
              </w:rPr>
            </w:pPr>
          </w:p>
        </w:tc>
        <w:tc>
          <w:tcPr>
            <w:tcW w:w="1278" w:type="dxa"/>
            <w:gridSpan w:val="2"/>
            <w:vAlign w:val="center"/>
          </w:tcPr>
          <w:p>
            <w:pPr>
              <w:jc w:val="center"/>
              <w:rPr>
                <w:rFonts w:hint="eastAsia" w:ascii="Times New Roman" w:hAnsi="Times New Roman" w:eastAsia="仿宋" w:cs="Times New Roman"/>
                <w:color w:val="000000"/>
                <w:sz w:val="24"/>
                <w:szCs w:val="24"/>
                <w:highlight w:val="yellow"/>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3</w:t>
            </w:r>
          </w:p>
        </w:tc>
        <w:tc>
          <w:tcPr>
            <w:tcW w:w="822"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100%</w:t>
            </w:r>
          </w:p>
        </w:tc>
        <w:tc>
          <w:tcPr>
            <w:tcW w:w="788" w:type="dxa"/>
            <w:vAlign w:val="center"/>
          </w:tcPr>
          <w:p>
            <w:pPr>
              <w:jc w:val="center"/>
              <w:rPr>
                <w:rFonts w:hint="eastAsia" w:ascii="Times New Roman" w:hAnsi="Times New Roman" w:eastAsia="仿宋" w:cs="Times New Roman"/>
                <w:color w:val="000000"/>
                <w:sz w:val="24"/>
                <w:szCs w:val="24"/>
                <w:highlight w:val="yellow"/>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cantSplit/>
          <w:trHeight w:val="23" w:hRule="atLeast"/>
        </w:trPr>
        <w:tc>
          <w:tcPr>
            <w:tcW w:w="13289" w:type="dxa"/>
            <w:gridSpan w:val="9"/>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总分</w:t>
            </w:r>
          </w:p>
        </w:tc>
        <w:tc>
          <w:tcPr>
            <w:tcW w:w="788" w:type="dxa"/>
            <w:vAlign w:val="center"/>
          </w:tcPr>
          <w:p>
            <w:pPr>
              <w:jc w:val="left"/>
              <w:rPr>
                <w:rFonts w:hint="default" w:ascii="Times New Roman" w:hAnsi="Times New Roman" w:eastAsia="仿宋" w:cs="Times New Roman"/>
                <w:color w:val="000000"/>
                <w:sz w:val="24"/>
                <w:szCs w:val="24"/>
                <w:highlight w:val="none"/>
              </w:rPr>
            </w:pPr>
          </w:p>
        </w:tc>
      </w:tr>
    </w:tbl>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注</w:t>
      </w:r>
      <w:r>
        <w:rPr>
          <w:rFonts w:hint="default" w:ascii="Times New Roman" w:hAnsi="Times New Roman" w:eastAsia="仿宋" w:cs="Times New Roman"/>
          <w:sz w:val="24"/>
          <w:szCs w:val="24"/>
          <w:highlight w:val="none"/>
          <w:lang w:val="en-US" w:eastAsia="zh-CN"/>
        </w:rPr>
        <w:t>1</w:t>
      </w:r>
      <w:r>
        <w:rPr>
          <w:rFonts w:hint="default" w:ascii="Times New Roman" w:hAnsi="Times New Roman" w:eastAsia="仿宋" w:cs="Times New Roman"/>
          <w:sz w:val="24"/>
          <w:szCs w:val="24"/>
          <w:highlight w:val="none"/>
          <w:lang w:eastAsia="zh-CN"/>
        </w:rPr>
        <w:t>：绿色工厂必须满足各项必选要求，可选要求按照受评工厂满足程度在</w:t>
      </w:r>
      <w:r>
        <w:rPr>
          <w:rFonts w:hint="default" w:ascii="Times New Roman" w:hAnsi="Times New Roman" w:eastAsia="仿宋" w:cs="Times New Roman"/>
          <w:sz w:val="24"/>
          <w:szCs w:val="24"/>
          <w:highlight w:val="none"/>
          <w:lang w:val="en-US" w:eastAsia="zh-CN"/>
        </w:rPr>
        <w:t>0分到满分中取值</w:t>
      </w:r>
      <w:r>
        <w:rPr>
          <w:rFonts w:hint="default" w:ascii="Times New Roman" w:hAnsi="Times New Roman" w:eastAsia="仿宋" w:cs="Times New Roman"/>
          <w:sz w:val="24"/>
          <w:szCs w:val="24"/>
          <w:highlight w:val="none"/>
          <w:lang w:eastAsia="zh-CN"/>
        </w:rPr>
        <w:t>。</w:t>
      </w:r>
    </w:p>
    <w:p>
      <w:pPr>
        <w:rPr>
          <w:rFonts w:hint="default" w:ascii="Times New Roman" w:hAnsi="Times New Roman" w:eastAsia="仿宋" w:cs="Times New Roman"/>
          <w:kern w:val="0"/>
          <w:sz w:val="24"/>
          <w:szCs w:val="24"/>
          <w:highlight w:val="none"/>
          <w:lang w:val="en-US" w:eastAsia="zh-CN"/>
        </w:rPr>
      </w:pPr>
      <w:r>
        <w:rPr>
          <w:rFonts w:hint="default" w:ascii="Times New Roman" w:hAnsi="Times New Roman" w:eastAsia="仿宋" w:cs="Times New Roman"/>
          <w:kern w:val="0"/>
          <w:sz w:val="24"/>
          <w:szCs w:val="24"/>
          <w:highlight w:val="none"/>
          <w:lang w:val="en-US" w:eastAsia="zh-CN"/>
        </w:rPr>
        <w:t>注2：凡符合“绿色工厂行业标准清单”的工厂，请根据清单中的标准自行设计该表格。</w:t>
      </w:r>
    </w:p>
    <w:p>
      <w:pPr>
        <w:rPr>
          <w:rFonts w:ascii="Times New Roman" w:hAnsi="Times New Roman" w:cs="Times New Roman"/>
          <w:highlight w:val="none"/>
        </w:rPr>
        <w:sectPr>
          <w:pgSz w:w="16838" w:h="11906" w:orient="landscape"/>
          <w:pgMar w:top="1800" w:right="1440" w:bottom="1800" w:left="1440" w:header="851" w:footer="992" w:gutter="0"/>
          <w:pgNumType w:fmt="decimal"/>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B112C"/>
    <w:rsid w:val="010B1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before="240" w:after="60"/>
      <w:jc w:val="center"/>
    </w:pPr>
    <w:rPr>
      <w:rFonts w:eastAsia="方正小标宋简体"/>
      <w:bCs/>
      <w:sz w:val="44"/>
      <w:szCs w:val="32"/>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List Paragraph"/>
    <w:basedOn w:val="1"/>
    <w:qFormat/>
    <w:uiPriority w:val="34"/>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2024-03-22T04:34:00Z</dcterms:created>
  <dc:creator>佢是阿宇</dc:creator>
  <cp:lastModifiedBy>佢是阿宇</cp:lastModifiedBy>
  <dcterms:modified xsi:type="dcterms:W3CDTF">2024-03-22T04:36:17Z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