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南山区促进产业高质量发展专项资金——</w:t>
      </w:r>
    </w:p>
    <w:p>
      <w:pPr>
        <w:spacing w:after="0" w:line="560" w:lineRule="exact"/>
        <w:contextualSpacing/>
        <w:jc w:val="center"/>
        <w:rPr>
          <w:rFonts w:hint="eastAsia" w:eastAsia="黑体"/>
          <w:color w:val="000000"/>
          <w:spacing w:val="-14"/>
          <w:sz w:val="32"/>
          <w:szCs w:val="32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区文化广电旅游体育局分项资金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鼓励IP引进及运营项目操作规程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b/>
          <w:bCs/>
          <w:color w:val="000000"/>
          <w:sz w:val="32"/>
          <w:szCs w:val="32"/>
        </w:rPr>
        <w:t>（</w:t>
      </w:r>
      <w:r>
        <w:rPr>
          <w:rFonts w:eastAsia="黑体"/>
          <w:b/>
          <w:bCs/>
          <w:color w:val="000000"/>
          <w:sz w:val="32"/>
          <w:szCs w:val="32"/>
        </w:rPr>
        <w:t>20</w:t>
      </w:r>
      <w:r>
        <w:rPr>
          <w:rFonts w:hint="eastAsia" w:eastAsia="黑体"/>
          <w:b/>
          <w:bCs/>
          <w:color w:val="000000"/>
          <w:sz w:val="32"/>
          <w:szCs w:val="32"/>
          <w:lang w:val="en-US" w:eastAsia="zh-CN"/>
        </w:rPr>
        <w:t>24</w:t>
      </w:r>
      <w:r>
        <w:rPr>
          <w:rFonts w:hint="eastAsia" w:eastAsia="黑体"/>
          <w:b/>
          <w:bCs/>
          <w:color w:val="000000"/>
          <w:sz w:val="32"/>
          <w:szCs w:val="32"/>
        </w:rPr>
        <w:t>年）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</w:rPr>
        <w:t>一、政策内容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鼓励企事业单位引进国内外知名、优质IP资源，对引进符合条件的IP资源，按首年度内实际收入的15%给予奖励，每家单位每年奖励总额最高不超过100万元。</w:t>
      </w:r>
    </w:p>
    <w:p>
      <w:pPr>
        <w:spacing w:after="0" w:line="240" w:lineRule="auto"/>
        <w:ind w:firstLine="640" w:firstLineChars="200"/>
        <w:contextualSpacing w:val="0"/>
        <w:jc w:val="left"/>
        <w:rPr>
          <w:rFonts w:ascii="黑体" w:hAnsi="黑体" w:eastAsia="黑体"/>
          <w:bCs/>
          <w:kern w:val="2"/>
          <w:sz w:val="32"/>
          <w:szCs w:val="32"/>
          <w:lang w:eastAsia="zh-CN" w:bidi="ar-SA"/>
        </w:rPr>
      </w:pPr>
      <w:r>
        <w:rPr>
          <w:rFonts w:hint="eastAsia" w:ascii="黑体" w:hAnsi="黑体" w:eastAsia="黑体"/>
          <w:bCs/>
          <w:kern w:val="2"/>
          <w:sz w:val="32"/>
          <w:szCs w:val="32"/>
          <w:lang w:eastAsia="zh-CN" w:bidi="ar-SA"/>
        </w:rPr>
        <w:t>二、设定依据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 w:hAnsi="仿宋" w:eastAsia="仿宋"/>
          <w:kern w:val="0"/>
          <w:sz w:val="32"/>
          <w:szCs w:val="32"/>
          <w:lang w:eastAsia="zh-CN"/>
        </w:rPr>
        <w:t>为</w:t>
      </w:r>
      <w:r>
        <w:rPr>
          <w:rFonts w:hint="eastAsia" w:hAnsi="仿宋" w:eastAsia="仿宋"/>
          <w:kern w:val="0"/>
          <w:sz w:val="32"/>
          <w:szCs w:val="32"/>
        </w:rPr>
        <w:t>推动文化之间交流与沟通，助力文化产业“引进来，走出去”，根据《南山区促进现代产业高质量发展专项资金管理办法》和《南山区促进文化旅游体育产业发展专项扶持措施》，</w:t>
      </w:r>
      <w:r>
        <w:rPr>
          <w:rFonts w:hint="eastAsia" w:hAnsi="仿宋" w:eastAsia="仿宋"/>
          <w:color w:val="000000"/>
          <w:sz w:val="32"/>
          <w:szCs w:val="32"/>
        </w:rPr>
        <w:t>制定本操作规程。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三、</w:t>
      </w:r>
      <w:r>
        <w:rPr>
          <w:rFonts w:hint="eastAsia" w:hAnsi="黑体" w:eastAsia="黑体"/>
          <w:color w:val="000000"/>
          <w:sz w:val="32"/>
          <w:szCs w:val="32"/>
        </w:rPr>
        <w:t>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（一）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基本条件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</w:rPr>
        <w:t>、在南山辖区内登记注册、经营、具有独立法人资格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</w:rPr>
        <w:t>、守法经营、诚实守信、有规范健全的财务制度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按照国家相关统计报表制度规定，正常履行统计报表义务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引进的动漫、电影、电视剧、舞台剧、出版作品、网络剧、微电影、展览等IP在国家级、省级出版发行单位或院线、电视台、剧场、网络播放平台、展馆等出版发行或播出、演出、展出，且首年运营收入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200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万元以上；</w:t>
      </w:r>
    </w:p>
    <w:p>
      <w:pPr>
        <w:pStyle w:val="12"/>
        <w:widowControl/>
        <w:shd w:val="clear" w:color="auto" w:fill="FFFFFF"/>
        <w:spacing w:line="360" w:lineRule="auto"/>
        <w:ind w:firstLine="640"/>
        <w:jc w:val="left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5、</w:t>
      </w:r>
      <w:r>
        <w:rPr>
          <w:rFonts w:hint="eastAsia" w:ascii="仿宋_GB2312" w:hAnsi="仿宋_GB2312" w:eastAsia="仿宋_GB2312"/>
          <w:sz w:val="32"/>
          <w:szCs w:val="32"/>
        </w:rPr>
        <w:t>申报主体为引入IP的签约运营单位；</w:t>
      </w:r>
    </w:p>
    <w:p>
      <w:pPr>
        <w:pStyle w:val="12"/>
        <w:widowControl/>
        <w:shd w:val="clear" w:color="auto" w:fill="FFFFFF"/>
        <w:spacing w:line="360" w:lineRule="auto"/>
        <w:ind w:firstLine="640"/>
        <w:jc w:val="left"/>
        <w:rPr>
          <w:rFonts w:hint="eastAsia" w:ascii="仿宋_GB2312" w:hAns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highlight w:val="none"/>
          <w:lang w:val="en-US" w:eastAsia="zh-CN"/>
        </w:rPr>
        <w:t>6、申报主体需上年度在南山区统计在库；</w:t>
      </w:r>
      <w:bookmarkStart w:id="0" w:name="_GoBack"/>
      <w:bookmarkEnd w:id="0"/>
    </w:p>
    <w:p>
      <w:pPr>
        <w:pStyle w:val="12"/>
        <w:widowControl/>
        <w:shd w:val="clear" w:color="auto" w:fill="FFFFFF"/>
        <w:spacing w:line="360" w:lineRule="auto"/>
        <w:ind w:firstLine="640"/>
        <w:jc w:val="lef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7、</w:t>
      </w:r>
      <w:r>
        <w:rPr>
          <w:rFonts w:hint="eastAsia" w:ascii="仿宋_GB2312" w:hAnsi="仿宋_GB2312" w:eastAsia="仿宋_GB2312"/>
          <w:sz w:val="32"/>
          <w:szCs w:val="32"/>
        </w:rPr>
        <w:t>奖励计算基数为</w:t>
      </w:r>
      <w:r>
        <w:rPr>
          <w:rFonts w:hint="eastAsia" w:ascii="仿宋_GB2312" w:hAnsi="黑体" w:eastAsia="仿宋_GB2312"/>
          <w:spacing w:val="4"/>
          <w:sz w:val="32"/>
        </w:rPr>
        <w:t>上两个年度内（自然年）</w:t>
      </w:r>
      <w:r>
        <w:rPr>
          <w:rFonts w:hint="eastAsia" w:ascii="仿宋_GB2312" w:hAnsi="仿宋_GB2312" w:eastAsia="仿宋_GB2312"/>
          <w:sz w:val="32"/>
          <w:szCs w:val="32"/>
        </w:rPr>
        <w:t>IP运营项目在国家级、省级的出版发行单位或电视台、网络播放平台等出版首次发行或播出、演出、展览等之后12个月内所产生的全部收入；</w:t>
      </w:r>
    </w:p>
    <w:p>
      <w:pPr>
        <w:adjustRightInd w:val="0"/>
        <w:snapToGrid w:val="0"/>
        <w:spacing w:line="30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8、</w:t>
      </w:r>
      <w:r>
        <w:rPr>
          <w:rFonts w:hint="eastAsia" w:ascii="仿宋_GB2312" w:hAnsi="仿宋_GB2312" w:eastAsia="仿宋_GB2312"/>
          <w:sz w:val="32"/>
          <w:szCs w:val="32"/>
        </w:rPr>
        <w:t>收入为不含税。产生收入时间在上两个年度内，连续不超过12个月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9、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最终资助金额需大于等于1万元。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（二）有下列情况之一的，本项资金不予资助：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被依法依规纳入严重失信主体名单或失信惩戒措施清单的；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提出资助申请后，申报主体注册地或在地统计关系发生变化，不再符合申报条件的。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eastAsia"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四</w:t>
      </w:r>
      <w:r>
        <w:rPr>
          <w:rFonts w:hint="eastAsia" w:hAnsi="黑体" w:eastAsia="黑体"/>
          <w:color w:val="000000"/>
          <w:sz w:val="32"/>
          <w:szCs w:val="32"/>
        </w:rPr>
        <w:t>、资助方式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本项</w:t>
      </w:r>
      <w:r>
        <w:rPr>
          <w:rFonts w:hint="eastAsia" w:ascii="仿宋" w:hAnsi="仿宋" w:eastAsia="仿宋"/>
          <w:sz w:val="32"/>
          <w:szCs w:val="32"/>
          <w:lang w:eastAsia="zh-CN"/>
        </w:rPr>
        <w:t>资金</w:t>
      </w:r>
      <w:r>
        <w:rPr>
          <w:rFonts w:hint="eastAsia" w:ascii="仿宋" w:hAnsi="仿宋" w:eastAsia="仿宋"/>
          <w:sz w:val="32"/>
          <w:szCs w:val="32"/>
        </w:rPr>
        <w:t>资助属于核准类项目，坚持公平、公开、公正的原则，实行自愿申报、科学决策和绩效评估的管理制度，采取无偿资助方式和事后补贴制，受资助项目无需验收。</w:t>
      </w:r>
    </w:p>
    <w:p>
      <w:pPr>
        <w:spacing w:after="0" w:line="560" w:lineRule="exact"/>
        <w:ind w:firstLine="640" w:firstLineChars="200"/>
        <w:contextualSpacing/>
        <w:rPr>
          <w:rFonts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五</w:t>
      </w:r>
      <w:r>
        <w:rPr>
          <w:rFonts w:hint="eastAsia" w:hAnsi="黑体" w:eastAsia="黑体"/>
          <w:color w:val="000000"/>
          <w:sz w:val="32"/>
          <w:szCs w:val="32"/>
        </w:rPr>
        <w:t>、</w:t>
      </w:r>
      <w:r>
        <w:rPr>
          <w:rFonts w:hint="eastAsia" w:ascii="黑体" w:hAnsi="黑体" w:eastAsia="黑体"/>
          <w:bCs/>
          <w:kern w:val="2"/>
          <w:sz w:val="32"/>
          <w:szCs w:val="32"/>
          <w:lang w:eastAsia="zh-CN" w:bidi="ar-SA"/>
        </w:rPr>
        <w:t>办理流程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（一）申报</w:t>
      </w:r>
      <w:r>
        <w:rPr>
          <w:rFonts w:ascii="仿宋_GB2312" w:hAnsi="ˎ̥" w:eastAsia="仿宋_GB2312" w:cs="宋体"/>
          <w:sz w:val="32"/>
          <w:szCs w:val="32"/>
          <w:lang w:eastAsia="zh-CN" w:bidi="ar-SA"/>
        </w:rPr>
        <w:t>主体</w:t>
      </w:r>
      <w:r>
        <w:rPr>
          <w:rFonts w:hint="eastAsia" w:ascii="仿宋_GB2312" w:eastAsia="仿宋_GB2312"/>
          <w:sz w:val="32"/>
          <w:szCs w:val="32"/>
          <w:lang w:eastAsia="zh-CN"/>
        </w:rPr>
        <w:t>登陆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i南山企业服务综合平台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kern w:val="2"/>
          <w:sz w:val="32"/>
          <w:szCs w:val="32"/>
          <w:highlight w:val="none"/>
        </w:rPr>
        <w:t>https://www.inanshan.org.cn/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，网上提交项目申报材料；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（二）区企业发展服务中心受理</w:t>
      </w:r>
      <w:r>
        <w:rPr>
          <w:rFonts w:hint="eastAsia" w:ascii="仿宋_GB2312" w:eastAsia="仿宋_GB2312"/>
          <w:kern w:val="2"/>
          <w:sz w:val="32"/>
          <w:szCs w:val="32"/>
          <w:lang w:eastAsia="zh-CN"/>
        </w:rPr>
        <w:t>申请，对申报材料进行形式性审核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，区局复审项目申报材料； 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局拟定资助计划；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（四）区统计局对申报主体在地统计开展情况进行核查，</w:t>
      </w:r>
      <w:r>
        <w:rPr>
          <w:rFonts w:ascii="仿宋_GB2312" w:eastAsia="仿宋_GB2312"/>
          <w:sz w:val="32"/>
          <w:szCs w:val="32"/>
          <w:lang w:eastAsia="zh-CN"/>
        </w:rPr>
        <w:t>区企业发展服务中心组织对申报</w:t>
      </w:r>
      <w:r>
        <w:rPr>
          <w:rFonts w:hint="eastAsia" w:ascii="仿宋_GB2312" w:eastAsia="仿宋_GB2312"/>
          <w:sz w:val="32"/>
          <w:szCs w:val="32"/>
          <w:lang w:eastAsia="zh-CN"/>
        </w:rPr>
        <w:t>主体</w:t>
      </w:r>
      <w:r>
        <w:rPr>
          <w:rFonts w:ascii="仿宋_GB2312" w:eastAsia="仿宋_GB2312"/>
          <w:sz w:val="32"/>
          <w:szCs w:val="32"/>
          <w:lang w:eastAsia="zh-CN"/>
        </w:rPr>
        <w:t>的注册情况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ascii="仿宋_GB2312" w:eastAsia="仿宋_GB2312"/>
          <w:sz w:val="32"/>
          <w:szCs w:val="32"/>
          <w:lang w:eastAsia="zh-CN"/>
        </w:rPr>
        <w:t>不良信用记录等情况进行核查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Hans"/>
        </w:rPr>
      </w:pPr>
      <w:r>
        <w:rPr>
          <w:rFonts w:hint="eastAsia" w:ascii="仿宋_GB2312" w:eastAsia="仿宋_GB2312"/>
          <w:sz w:val="32"/>
          <w:szCs w:val="32"/>
          <w:lang w:eastAsia="zh-Hans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  <w:lang w:eastAsia="zh-Hans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区企业</w:t>
      </w:r>
      <w:r>
        <w:rPr>
          <w:rFonts w:hint="eastAsia" w:ascii="仿宋_GB2312" w:eastAsia="仿宋_GB2312"/>
          <w:sz w:val="32"/>
          <w:szCs w:val="32"/>
          <w:lang w:eastAsia="zh-CN"/>
        </w:rPr>
        <w:t>发展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服务中心将拟资助项目向社会公示5个工作日，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对公示期满，无有效投诉的项目资助计划，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再按照相应审核程序提交会议审议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outlineLvl w:val="1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  <w:lang w:eastAsia="zh-CN"/>
        </w:rPr>
        <w:t>）经审议后，由区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局直接行文下达资金计划；</w:t>
      </w:r>
    </w:p>
    <w:p>
      <w:pPr>
        <w:spacing w:after="0" w:line="560" w:lineRule="exact"/>
        <w:ind w:firstLine="640" w:firstLineChars="200"/>
        <w:contextualSpacing/>
        <w:jc w:val="both"/>
        <w:outlineLvl w:val="1"/>
        <w:rPr>
          <w:rFonts w:hint="default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（七）区财政部门及时安排资金，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办理资金拨付手续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六</w:t>
      </w:r>
      <w:r>
        <w:rPr>
          <w:rFonts w:hint="eastAsia" w:hAnsi="黑体" w:eastAsia="黑体"/>
          <w:color w:val="000000"/>
          <w:sz w:val="32"/>
          <w:szCs w:val="32"/>
        </w:rPr>
        <w:t>、所需材料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登录“i南山企业服务综合平台”（https://www.inanshan.org.cn/）在线填写《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鼓励IP引进及运营项目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》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申请书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(注：申请书编号以最终提交申请书生成为准，附件清单材料为佐证材料。)</w:t>
      </w:r>
    </w:p>
    <w:p>
      <w:pPr>
        <w:pStyle w:val="3"/>
        <w:rPr>
          <w:rFonts w:hint="eastAsia"/>
          <w:lang w:val="en-US" w:eastAsia="zh-CN"/>
        </w:rPr>
      </w:pPr>
    </w:p>
    <w:tbl>
      <w:tblPr>
        <w:tblStyle w:val="9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4441"/>
        <w:gridCol w:w="1450"/>
        <w:gridCol w:w="1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序号</w:t>
            </w: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附件名称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是否必备材料</w:t>
            </w: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网上提交资料要求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</w:t>
            </w: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新版</w:t>
            </w:r>
            <w:r>
              <w:rPr>
                <w:rFonts w:ascii="楷体" w:hAnsi="楷体" w:eastAsia="楷体"/>
                <w:sz w:val="24"/>
              </w:rPr>
              <w:t>“</w:t>
            </w:r>
            <w:r>
              <w:rPr>
                <w:rFonts w:hint="eastAsia" w:ascii="楷体" w:hAnsi="楷体" w:eastAsia="楷体"/>
                <w:sz w:val="24"/>
              </w:rPr>
              <w:t>三证合一</w:t>
            </w:r>
            <w:r>
              <w:rPr>
                <w:rFonts w:ascii="楷体" w:hAnsi="楷体" w:eastAsia="楷体"/>
                <w:sz w:val="24"/>
              </w:rPr>
              <w:t>”</w:t>
            </w:r>
            <w:r>
              <w:rPr>
                <w:rFonts w:hint="eastAsia" w:ascii="楷体" w:hAnsi="楷体" w:eastAsia="楷体"/>
                <w:sz w:val="24"/>
              </w:rPr>
              <w:t>营业执照（事业单位提交新版“三证合一”法人证书）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83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原件彩色扫描；P</w:t>
            </w:r>
            <w:r>
              <w:rPr>
                <w:rFonts w:ascii="楷体" w:hAnsi="楷体" w:eastAsia="楷体"/>
                <w:sz w:val="24"/>
              </w:rPr>
              <w:t>DF</w:t>
            </w:r>
            <w:r>
              <w:rPr>
                <w:rFonts w:hint="eastAsia" w:ascii="楷体" w:hAnsi="楷体" w:eastAsia="楷体"/>
                <w:sz w:val="24"/>
              </w:rPr>
              <w:t>格式上传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2</w:t>
            </w: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法定代表人身份证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83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3</w:t>
            </w: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税务部门提供的单位上一年度的纳税证明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83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4</w:t>
            </w: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IP授权合同/协议、授权方知识产权证明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83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5</w:t>
            </w: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出版/发行/播出/运营该作品的政府相关部门批文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83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6</w:t>
            </w: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出版/发行/播出/运营该作品的合同（协议）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83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7</w:t>
            </w: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单位专业资质的证明材料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83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8</w:t>
            </w: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首年度实际收入相关证明材料、收入发票、系统截图、银行往来凭证等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83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9</w:t>
            </w: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申请奖励项目收入到账明细表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default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lang w:val="en-US" w:eastAsia="zh-CN"/>
              </w:rPr>
              <w:t>EXCEL表格上传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10</w:t>
            </w: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项目或作品样品（影视作品、动漫等可提供截图）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83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原件彩色扫描；P</w:t>
            </w:r>
            <w:r>
              <w:rPr>
                <w:rFonts w:ascii="楷体" w:hAnsi="楷体" w:eastAsia="楷体"/>
                <w:sz w:val="24"/>
              </w:rPr>
              <w:t>DF</w:t>
            </w:r>
            <w:r>
              <w:rPr>
                <w:rFonts w:hint="eastAsia" w:ascii="楷体" w:hAnsi="楷体" w:eastAsia="楷体"/>
                <w:sz w:val="24"/>
              </w:rPr>
              <w:t>格式上传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11</w:t>
            </w: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其它附件（如有）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否</w:t>
            </w:r>
          </w:p>
        </w:tc>
        <w:tc>
          <w:tcPr>
            <w:tcW w:w="1183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</w:tbl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5"/>
        <w:jc w:val="both"/>
        <w:textAlignment w:val="auto"/>
        <w:rPr>
          <w:rFonts w:ascii="Times New Roman" w:hAnsi="Times New Roman" w:eastAsia="黑体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  <w:lang w:eastAsia="zh-CN"/>
        </w:rPr>
        <w:t>七</w:t>
      </w: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</w:rPr>
        <w:t>、其他事项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5"/>
        <w:jc w:val="both"/>
        <w:textAlignment w:val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kern w:val="2"/>
          <w:sz w:val="32"/>
          <w:szCs w:val="32"/>
        </w:rPr>
        <w:t>申请本项目资助的企业应保证其申报材料的完整性、</w:t>
      </w:r>
      <w:r>
        <w:rPr>
          <w:rFonts w:hint="eastAsia" w:ascii="仿宋" w:hAnsi="仿宋" w:eastAsia="仿宋" w:cs="Times New Roman"/>
          <w:sz w:val="32"/>
          <w:szCs w:val="32"/>
        </w:rPr>
        <w:t>真实性、</w:t>
      </w:r>
      <w:r>
        <w:rPr>
          <w:rFonts w:hint="eastAsia" w:ascii="仿宋" w:hAnsi="仿宋" w:eastAsia="仿宋" w:cs="Times New Roman"/>
          <w:kern w:val="2"/>
          <w:sz w:val="32"/>
          <w:szCs w:val="32"/>
        </w:rPr>
        <w:t>准确性</w:t>
      </w:r>
      <w:r>
        <w:rPr>
          <w:rFonts w:hint="eastAsia" w:ascii="仿宋" w:hAnsi="仿宋" w:eastAsia="仿宋" w:cs="Times New Roman"/>
          <w:sz w:val="32"/>
          <w:szCs w:val="32"/>
        </w:rPr>
        <w:t>及合法性</w:t>
      </w:r>
      <w:r>
        <w:rPr>
          <w:rFonts w:hint="eastAsia" w:ascii="仿宋" w:hAnsi="仿宋" w:eastAsia="仿宋" w:cs="Times New Roman"/>
          <w:kern w:val="2"/>
          <w:sz w:val="32"/>
          <w:szCs w:val="32"/>
        </w:rPr>
        <w:t>，</w:t>
      </w:r>
      <w:r>
        <w:rPr>
          <w:rFonts w:hint="eastAsia" w:ascii="仿宋" w:hAnsi="仿宋" w:eastAsia="仿宋" w:cs="Times New Roman"/>
          <w:sz w:val="32"/>
          <w:szCs w:val="32"/>
        </w:rPr>
        <w:t>并承担所提交的项目申报材料的相关法律责任，如有虚假或侵权等行为，该项目申请无效，如事后发现存在以上行为，本资金主管部门将保留依法追究其法律责任的权利。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  <w:lang w:eastAsia="zh-CN"/>
        </w:rPr>
        <w:t>八</w:t>
      </w: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</w:rPr>
        <w:t>、附则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仿宋" w:hAnsi="仿宋" w:eastAsia="仿宋" w:cs="Times New Roman"/>
          <w:kern w:val="2"/>
          <w:sz w:val="32"/>
          <w:szCs w:val="32"/>
        </w:rPr>
      </w:pPr>
      <w:r>
        <w:rPr>
          <w:rFonts w:hint="eastAsia" w:ascii="仿宋" w:hAnsi="仿宋" w:eastAsia="仿宋" w:cs="Times New Roman"/>
          <w:kern w:val="2"/>
          <w:sz w:val="32"/>
          <w:szCs w:val="32"/>
        </w:rPr>
        <w:t>本规程由南山区文化广电旅游体育局负责解释，自发布之日起施行。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ˎ̥">
    <w:altName w:val="华文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OTVjMjVlZTU3MjBlMDIzM2FkMDQ2NDA5MWMzMGEifQ=="/>
  </w:docVars>
  <w:rsids>
    <w:rsidRoot w:val="1E9B000F"/>
    <w:rsid w:val="095C7285"/>
    <w:rsid w:val="0CDC3F82"/>
    <w:rsid w:val="104D08F5"/>
    <w:rsid w:val="168B0344"/>
    <w:rsid w:val="1B7D1879"/>
    <w:rsid w:val="1E395720"/>
    <w:rsid w:val="1E9B000F"/>
    <w:rsid w:val="225D1033"/>
    <w:rsid w:val="251F4517"/>
    <w:rsid w:val="2F1C0EC7"/>
    <w:rsid w:val="32880B83"/>
    <w:rsid w:val="36200A19"/>
    <w:rsid w:val="365F39E8"/>
    <w:rsid w:val="3BBB2228"/>
    <w:rsid w:val="42D91274"/>
    <w:rsid w:val="431D4C7D"/>
    <w:rsid w:val="432C2634"/>
    <w:rsid w:val="434E130F"/>
    <w:rsid w:val="515772D4"/>
    <w:rsid w:val="52F66BF5"/>
    <w:rsid w:val="5D6B6A15"/>
    <w:rsid w:val="5F8C3268"/>
    <w:rsid w:val="62A72E7A"/>
    <w:rsid w:val="638A218B"/>
    <w:rsid w:val="66D241C8"/>
    <w:rsid w:val="6D3414FD"/>
    <w:rsid w:val="70257FF6"/>
    <w:rsid w:val="73FE0437"/>
    <w:rsid w:val="7A5A15E5"/>
    <w:rsid w:val="7D9C7CC2"/>
    <w:rsid w:val="7FF70016"/>
    <w:rsid w:val="DB3F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eastAsia="黑体"/>
      <w:bCs/>
      <w:kern w:val="44"/>
      <w:szCs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ind w:firstLine="200" w:firstLineChars="200"/>
      <w:outlineLvl w:val="1"/>
    </w:pPr>
    <w:rPr>
      <w:rFonts w:eastAsia="楷体_GB2312" w:asciiTheme="majorHAnsi" w:hAnsiTheme="majorHAnsi" w:cstheme="majorBidi"/>
      <w:b/>
      <w:bCs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4"/>
    <w:basedOn w:val="1"/>
    <w:next w:val="1"/>
    <w:qFormat/>
    <w:uiPriority w:val="0"/>
    <w:pPr>
      <w:keepNext/>
      <w:keepLines/>
      <w:spacing w:before="280" w:after="290" w:line="376" w:lineRule="auto"/>
      <w:textAlignment w:val="baseline"/>
    </w:pPr>
    <w:rPr>
      <w:rFonts w:ascii="Cambria" w:hAnsi="Cambria" w:eastAsia="宋体" w:cs="Times New Roman"/>
      <w:b/>
      <w:bCs/>
      <w:sz w:val="28"/>
      <w:szCs w:val="28"/>
    </w:rPr>
  </w:style>
  <w:style w:type="paragraph" w:styleId="5">
    <w:name w:val="Body Text Indent"/>
    <w:basedOn w:val="1"/>
    <w:qFormat/>
    <w:uiPriority w:val="0"/>
    <w:pPr>
      <w:adjustRightInd w:val="0"/>
      <w:snapToGrid w:val="0"/>
      <w:spacing w:line="300" w:lineRule="auto"/>
      <w:ind w:firstLine="720" w:firstLineChars="225"/>
    </w:pPr>
    <w:rPr>
      <w:rFonts w:ascii="仿宋_GB2312" w:eastAsia="仿宋_GB2312"/>
      <w:color w:val="000000"/>
      <w:sz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font5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1591</Words>
  <Characters>1674</Characters>
  <Lines>0</Lines>
  <Paragraphs>0</Paragraphs>
  <TotalTime>0</TotalTime>
  <ScaleCrop>false</ScaleCrop>
  <LinksUpToDate>false</LinksUpToDate>
  <CharactersWithSpaces>1675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2021-04-24T09:41:00Z</dcterms:created>
  <dc:creator>王榕</dc:creator>
  <cp:lastModifiedBy>杨璐源</cp:lastModifiedBy>
  <cp:lastPrinted>2021-06-05T03:15:00Z</cp:lastPrinted>
  <dcterms:modified xsi:type="dcterms:W3CDTF">2024-04-08T15:04:28Z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B3FBB3BC89E54465B2ED1396E599B637</vt:lpwstr>
  </property>
</Properties>
</file>