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南山区促进产业高质量发展专项资金——</w:t>
      </w: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区文化广电旅游体育局分项资金</w:t>
      </w: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鼓励建设文化和科技融合示范基地项目</w:t>
      </w: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操作规程</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eastAsia="黑体"/>
          <w:color w:val="000000"/>
          <w:sz w:val="32"/>
          <w:szCs w:val="32"/>
        </w:rPr>
      </w:pPr>
      <w:r>
        <w:rPr>
          <w:rFonts w:hint="eastAsia" w:eastAsia="黑体"/>
          <w:b/>
          <w:bCs/>
          <w:color w:val="000000"/>
          <w:sz w:val="32"/>
          <w:szCs w:val="32"/>
        </w:rPr>
        <w:t>（</w:t>
      </w:r>
      <w:r>
        <w:rPr>
          <w:rFonts w:eastAsia="黑体"/>
          <w:b/>
          <w:bCs/>
          <w:color w:val="000000"/>
          <w:sz w:val="32"/>
          <w:szCs w:val="32"/>
        </w:rPr>
        <w:t>20</w:t>
      </w:r>
      <w:r>
        <w:rPr>
          <w:rFonts w:hint="eastAsia" w:eastAsia="黑体"/>
          <w:b/>
          <w:bCs/>
          <w:color w:val="000000"/>
          <w:sz w:val="32"/>
          <w:szCs w:val="32"/>
          <w:lang w:val="en-US" w:eastAsia="zh-CN"/>
        </w:rPr>
        <w:t>24</w:t>
      </w:r>
      <w:r>
        <w:rPr>
          <w:rFonts w:hint="eastAsia" w:eastAsia="黑体"/>
          <w:b/>
          <w:bCs/>
          <w:color w:val="000000"/>
          <w:sz w:val="32"/>
          <w:szCs w:val="32"/>
        </w:rPr>
        <w:t>年）</w:t>
      </w:r>
    </w:p>
    <w:p>
      <w:pPr>
        <w:keepNext w:val="0"/>
        <w:keepLines w:val="0"/>
        <w:pageBreakBefore w:val="0"/>
        <w:kinsoku/>
        <w:wordWrap/>
        <w:overflowPunct/>
        <w:topLinePunct w:val="0"/>
        <w:autoSpaceDE/>
        <w:autoSpaceDN/>
        <w:bidi w:val="0"/>
        <w:adjustRightInd w:val="0"/>
        <w:snapToGrid w:val="0"/>
        <w:spacing w:line="560" w:lineRule="exact"/>
        <w:textAlignment w:val="auto"/>
        <w:rPr>
          <w:rFonts w:hint="eastAsia" w:hAnsi="仿宋" w:eastAsia="仿宋"/>
          <w:color w:val="000000"/>
          <w:sz w:val="32"/>
          <w:szCs w:val="32"/>
        </w:rPr>
      </w:pPr>
      <w:bookmarkStart w:id="0" w:name="_GoBack"/>
      <w:bookmarkEnd w:id="0"/>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eastAsia="黑体"/>
          <w:color w:val="000000"/>
          <w:sz w:val="32"/>
          <w:szCs w:val="32"/>
        </w:rPr>
      </w:pPr>
      <w:r>
        <w:rPr>
          <w:rFonts w:hint="eastAsia" w:hAnsi="黑体" w:eastAsia="黑体"/>
          <w:color w:val="000000"/>
          <w:sz w:val="32"/>
          <w:szCs w:val="32"/>
        </w:rPr>
        <w:t>一、政策内容</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hAnsi="仿宋" w:eastAsia="仿宋"/>
          <w:color w:val="auto"/>
          <w:sz w:val="32"/>
          <w:szCs w:val="32"/>
        </w:rPr>
      </w:pPr>
      <w:r>
        <w:rPr>
          <w:rFonts w:hint="eastAsia" w:hAnsi="仿宋" w:eastAsia="仿宋"/>
          <w:color w:val="auto"/>
          <w:sz w:val="32"/>
          <w:szCs w:val="32"/>
        </w:rPr>
        <w:t>对获得文化和科技融合示范基地集聚类基地认定的单位给予最高不超过300万元一次性奖励，获得文化和科技融合示范基地单体类基地认定的单位给予最高不超过100万元一次性奖励，获得文化和科技融合领军企业认定的单位给予最高不超过50万元一次性奖励。</w:t>
      </w:r>
    </w:p>
    <w:p>
      <w:pPr>
        <w:spacing w:after="0" w:line="240" w:lineRule="auto"/>
        <w:ind w:firstLine="640" w:firstLineChars="200"/>
        <w:contextualSpacing w:val="0"/>
        <w:jc w:val="left"/>
        <w:rPr>
          <w:rFonts w:ascii="黑体" w:hAnsi="黑体" w:eastAsia="黑体"/>
          <w:bCs/>
          <w:kern w:val="2"/>
          <w:sz w:val="32"/>
          <w:szCs w:val="32"/>
          <w:lang w:eastAsia="zh-CN" w:bidi="ar-SA"/>
        </w:rPr>
      </w:pPr>
      <w:r>
        <w:rPr>
          <w:rFonts w:hint="eastAsia" w:ascii="黑体" w:hAnsi="黑体" w:eastAsia="黑体"/>
          <w:bCs/>
          <w:kern w:val="2"/>
          <w:sz w:val="32"/>
          <w:szCs w:val="32"/>
          <w:lang w:eastAsia="zh-CN" w:bidi="ar-SA"/>
        </w:rPr>
        <w:t>二、设定依据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rPr>
      </w:pPr>
      <w:r>
        <w:rPr>
          <w:rFonts w:hint="eastAsia" w:hAnsi="仿宋" w:eastAsia="仿宋"/>
          <w:color w:val="000000"/>
          <w:sz w:val="32"/>
          <w:szCs w:val="32"/>
        </w:rPr>
        <w:t>为巩固提升深圳在文化科技领域的领先地位，</w:t>
      </w:r>
      <w:r>
        <w:rPr>
          <w:rFonts w:hint="eastAsia" w:hAnsi="仿宋" w:eastAsia="仿宋"/>
          <w:kern w:val="0"/>
          <w:sz w:val="32"/>
          <w:szCs w:val="32"/>
        </w:rPr>
        <w:t>根据《南山区促进产业高质量发展专项资金管理办法》和《南山区促进文化旅游体育产业发展专项扶持措施》，</w:t>
      </w:r>
      <w:r>
        <w:rPr>
          <w:rFonts w:hint="eastAsia" w:hAnsi="仿宋" w:eastAsia="仿宋"/>
          <w:color w:val="000000"/>
          <w:sz w:val="32"/>
          <w:szCs w:val="32"/>
        </w:rPr>
        <w:t>制定本操作规程。</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eastAsia="黑体"/>
          <w:color w:val="000000"/>
          <w:sz w:val="32"/>
          <w:szCs w:val="32"/>
        </w:rPr>
      </w:pPr>
      <w:r>
        <w:rPr>
          <w:rFonts w:hint="eastAsia" w:hAnsi="黑体" w:eastAsia="黑体"/>
          <w:color w:val="000000"/>
          <w:sz w:val="32"/>
          <w:szCs w:val="32"/>
          <w:lang w:eastAsia="zh-CN"/>
        </w:rPr>
        <w:t>三、</w:t>
      </w:r>
      <w:r>
        <w:rPr>
          <w:rFonts w:hint="eastAsia" w:hAnsi="黑体" w:eastAsia="黑体"/>
          <w:color w:val="000000"/>
          <w:sz w:val="32"/>
          <w:szCs w:val="32"/>
        </w:rPr>
        <w:t>申请条件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rPr>
      </w:pPr>
      <w:r>
        <w:rPr>
          <w:rFonts w:hint="eastAsia" w:ascii="仿宋" w:hAnsi="仿宋" w:eastAsia="仿宋" w:cs="Times New Roman"/>
          <w:color w:val="000000"/>
          <w:sz w:val="32"/>
          <w:szCs w:val="32"/>
        </w:rPr>
        <w:t>（一）</w:t>
      </w:r>
      <w:r>
        <w:rPr>
          <w:rFonts w:hint="eastAsia" w:ascii="仿宋" w:hAnsi="仿宋" w:eastAsia="仿宋" w:cs="Times New Roman"/>
          <w:color w:val="000000"/>
          <w:sz w:val="32"/>
          <w:szCs w:val="32"/>
          <w:lang w:eastAsia="zh-CN"/>
        </w:rPr>
        <w:t>基本条件</w:t>
      </w:r>
      <w:r>
        <w:rPr>
          <w:rFonts w:hint="eastAsia" w:ascii="仿宋" w:hAnsi="仿宋" w:eastAsia="仿宋" w:cs="Times New Roman"/>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1</w:t>
      </w:r>
      <w:r>
        <w:rPr>
          <w:rFonts w:hint="eastAsia" w:ascii="仿宋" w:hAnsi="仿宋" w:eastAsia="仿宋"/>
          <w:color w:val="000000"/>
          <w:sz w:val="32"/>
          <w:szCs w:val="32"/>
        </w:rPr>
        <w:t>、在南山辖区内登记注册、经营、具有独立法人资格</w:t>
      </w:r>
      <w:r>
        <w:rPr>
          <w:rFonts w:hint="eastAsia" w:ascii="仿宋" w:hAnsi="仿宋" w:eastAsia="仿宋"/>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2</w:t>
      </w:r>
      <w:r>
        <w:rPr>
          <w:rFonts w:hint="eastAsia" w:ascii="仿宋" w:hAnsi="仿宋" w:eastAsia="仿宋"/>
          <w:color w:val="000000"/>
          <w:sz w:val="32"/>
          <w:szCs w:val="32"/>
        </w:rPr>
        <w:t>、守法经营、诚实守信、有规范健全的财务制度</w:t>
      </w:r>
      <w:r>
        <w:rPr>
          <w:rFonts w:hint="eastAsia" w:ascii="仿宋" w:hAnsi="仿宋" w:eastAsia="仿宋"/>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3、</w:t>
      </w:r>
      <w:r>
        <w:rPr>
          <w:rFonts w:hint="eastAsia" w:ascii="仿宋" w:hAnsi="仿宋" w:eastAsia="仿宋" w:cs="Times New Roman"/>
          <w:color w:val="000000"/>
          <w:sz w:val="32"/>
          <w:szCs w:val="32"/>
        </w:rPr>
        <w:t>按照国家相关统计报表制度规定，正常履行统计报表义务</w:t>
      </w:r>
      <w:r>
        <w:rPr>
          <w:rFonts w:hint="eastAsia" w:ascii="仿宋" w:hAnsi="仿宋" w:eastAsia="仿宋" w:cs="Times New Roman"/>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4、上年度获得国家级、省级、市级文化和科技融合示范基地（集聚类或单体类）、</w:t>
      </w:r>
      <w:r>
        <w:rPr>
          <w:rFonts w:hint="eastAsia" w:hAnsi="仿宋" w:eastAsia="仿宋"/>
          <w:color w:val="000000"/>
          <w:sz w:val="32"/>
          <w:szCs w:val="32"/>
        </w:rPr>
        <w:t>文化和科技融合领军企业</w:t>
      </w:r>
      <w:r>
        <w:rPr>
          <w:rFonts w:hint="eastAsia" w:ascii="仿宋" w:hAnsi="仿宋" w:eastAsia="仿宋" w:cs="Times New Roman"/>
          <w:color w:val="000000"/>
          <w:sz w:val="32"/>
          <w:szCs w:val="32"/>
          <w:lang w:val="en-US" w:eastAsia="zh-CN"/>
        </w:rPr>
        <w:t>认定的单位。</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5、上年度</w:t>
      </w:r>
      <w:r>
        <w:rPr>
          <w:rFonts w:hint="eastAsia" w:hAnsi="仿宋" w:eastAsia="仿宋"/>
          <w:color w:val="auto"/>
          <w:sz w:val="32"/>
          <w:szCs w:val="32"/>
        </w:rPr>
        <w:t>获得</w:t>
      </w:r>
      <w:r>
        <w:rPr>
          <w:rFonts w:hint="eastAsia" w:hAnsi="仿宋" w:eastAsia="仿宋"/>
          <w:color w:val="auto"/>
          <w:sz w:val="32"/>
          <w:szCs w:val="32"/>
          <w:lang w:eastAsia="zh-CN"/>
        </w:rPr>
        <w:t>国家级</w:t>
      </w:r>
      <w:r>
        <w:rPr>
          <w:rFonts w:hint="eastAsia" w:hAnsi="仿宋" w:eastAsia="仿宋"/>
          <w:color w:val="auto"/>
          <w:sz w:val="32"/>
          <w:szCs w:val="32"/>
        </w:rPr>
        <w:t>文化和科技融合示范基地集聚类基地认定的单位</w:t>
      </w:r>
      <w:r>
        <w:rPr>
          <w:rFonts w:hint="eastAsia" w:ascii="仿宋" w:hAnsi="仿宋" w:eastAsia="仿宋" w:cs="Times New Roman"/>
          <w:color w:val="000000"/>
          <w:sz w:val="32"/>
          <w:szCs w:val="32"/>
          <w:lang w:val="en-US" w:eastAsia="zh-CN"/>
        </w:rPr>
        <w:t>，给予最高不超过300万元一次性奖励；上年度</w:t>
      </w:r>
      <w:r>
        <w:rPr>
          <w:rFonts w:hint="eastAsia" w:hAnsi="仿宋" w:eastAsia="仿宋"/>
          <w:color w:val="auto"/>
          <w:sz w:val="32"/>
          <w:szCs w:val="32"/>
        </w:rPr>
        <w:t>获得</w:t>
      </w:r>
      <w:r>
        <w:rPr>
          <w:rFonts w:hint="eastAsia" w:hAnsi="仿宋" w:eastAsia="仿宋"/>
          <w:color w:val="auto"/>
          <w:sz w:val="32"/>
          <w:szCs w:val="32"/>
          <w:lang w:eastAsia="zh-CN"/>
        </w:rPr>
        <w:t>省级</w:t>
      </w:r>
      <w:r>
        <w:rPr>
          <w:rFonts w:hint="eastAsia" w:hAnsi="仿宋" w:eastAsia="仿宋"/>
          <w:color w:val="auto"/>
          <w:sz w:val="32"/>
          <w:szCs w:val="32"/>
        </w:rPr>
        <w:t>文化和科技融合示范基地集聚类基地认定的单位</w:t>
      </w:r>
      <w:r>
        <w:rPr>
          <w:rFonts w:hint="eastAsia" w:ascii="仿宋" w:hAnsi="仿宋" w:eastAsia="仿宋" w:cs="Times New Roman"/>
          <w:color w:val="000000"/>
          <w:sz w:val="32"/>
          <w:szCs w:val="32"/>
          <w:lang w:val="en-US" w:eastAsia="zh-CN"/>
        </w:rPr>
        <w:t>，给予最高不超过200万元一次性奖励；上年度</w:t>
      </w:r>
      <w:r>
        <w:rPr>
          <w:rFonts w:hint="eastAsia" w:hAnsi="仿宋" w:eastAsia="仿宋"/>
          <w:color w:val="auto"/>
          <w:sz w:val="32"/>
          <w:szCs w:val="32"/>
        </w:rPr>
        <w:t>获得</w:t>
      </w:r>
      <w:r>
        <w:rPr>
          <w:rFonts w:hint="eastAsia" w:hAnsi="仿宋" w:eastAsia="仿宋"/>
          <w:color w:val="auto"/>
          <w:sz w:val="32"/>
          <w:szCs w:val="32"/>
          <w:lang w:eastAsia="zh-CN"/>
        </w:rPr>
        <w:t>市级</w:t>
      </w:r>
      <w:r>
        <w:rPr>
          <w:rFonts w:hint="eastAsia" w:hAnsi="仿宋" w:eastAsia="仿宋"/>
          <w:color w:val="auto"/>
          <w:sz w:val="32"/>
          <w:szCs w:val="32"/>
        </w:rPr>
        <w:t>文化和科技融合示范基地集聚类基地认定的单位</w:t>
      </w:r>
      <w:r>
        <w:rPr>
          <w:rFonts w:hint="eastAsia" w:ascii="仿宋" w:hAnsi="仿宋" w:eastAsia="仿宋" w:cs="Times New Roman"/>
          <w:color w:val="000000"/>
          <w:sz w:val="32"/>
          <w:szCs w:val="32"/>
          <w:lang w:val="en-US" w:eastAsia="zh-CN"/>
        </w:rPr>
        <w:t>，给予最高不超过100万元一次性奖励。</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6、上年度获得国家级文化和科技融合示范基地单体类基地认定的单位，给予最高不超过100万元一次性奖励；上年度获得省级文化和科技融合示范基地单体类基地认定的单位，给予最高不超过50万元一次性奖励；上年度获得市级文化和科技融合示范基地单体类基地认定的单位，给予最高不超过25万元一次性奖励。</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lang w:val="en-US" w:eastAsia="zh-CN"/>
        </w:rPr>
      </w:pPr>
      <w:r>
        <w:rPr>
          <w:rFonts w:hint="default" w:ascii="仿宋" w:hAnsi="仿宋" w:eastAsia="仿宋" w:cs="Times New Roman"/>
          <w:color w:val="000000"/>
          <w:sz w:val="32"/>
          <w:szCs w:val="32"/>
          <w:lang w:val="en-US" w:eastAsia="zh-CN"/>
        </w:rPr>
        <w:t>7</w:t>
      </w:r>
      <w:r>
        <w:rPr>
          <w:rFonts w:hint="eastAsia" w:ascii="仿宋" w:hAnsi="仿宋" w:eastAsia="仿宋" w:cs="Times New Roman"/>
          <w:color w:val="000000"/>
          <w:sz w:val="32"/>
          <w:szCs w:val="32"/>
          <w:lang w:val="en-US" w:eastAsia="zh-CN"/>
        </w:rPr>
        <w:t>、最终资助金额需大于等于1万元。</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（二）有下列情况之一的，本项资金不予资助：</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1</w:t>
      </w:r>
      <w:r>
        <w:rPr>
          <w:rFonts w:hint="eastAsia" w:ascii="仿宋" w:hAnsi="仿宋" w:eastAsia="仿宋"/>
          <w:color w:val="000000"/>
          <w:sz w:val="32"/>
          <w:szCs w:val="32"/>
          <w:lang w:eastAsia="zh-CN"/>
        </w:rPr>
        <w:t>、</w:t>
      </w:r>
      <w:r>
        <w:rPr>
          <w:rFonts w:hint="eastAsia" w:ascii="仿宋" w:hAnsi="仿宋" w:eastAsia="仿宋"/>
          <w:color w:val="000000"/>
          <w:sz w:val="32"/>
          <w:szCs w:val="32"/>
        </w:rPr>
        <w:t>被依法依规纳入严重失信主体名单或失信惩戒措施清单的；</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2</w:t>
      </w:r>
      <w:r>
        <w:rPr>
          <w:rFonts w:hint="eastAsia" w:ascii="仿宋" w:hAnsi="仿宋" w:eastAsia="仿宋"/>
          <w:color w:val="000000"/>
          <w:sz w:val="32"/>
          <w:szCs w:val="32"/>
          <w:lang w:eastAsia="zh-CN"/>
        </w:rPr>
        <w:t>、</w:t>
      </w:r>
      <w:r>
        <w:rPr>
          <w:rFonts w:hint="eastAsia" w:ascii="仿宋" w:hAnsi="仿宋" w:eastAsia="仿宋"/>
          <w:color w:val="000000"/>
          <w:sz w:val="32"/>
          <w:szCs w:val="32"/>
        </w:rPr>
        <w:t>提出资助申请后，申报主体注册地或在地统计关系发生变化，不再符合申报条件的。</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黑体" w:eastAsia="黑体"/>
          <w:color w:val="000000"/>
          <w:sz w:val="32"/>
          <w:szCs w:val="32"/>
        </w:rPr>
      </w:pPr>
      <w:r>
        <w:rPr>
          <w:rFonts w:hint="eastAsia" w:hAnsi="黑体" w:eastAsia="黑体"/>
          <w:color w:val="000000"/>
          <w:sz w:val="32"/>
          <w:szCs w:val="32"/>
          <w:lang w:eastAsia="zh-CN"/>
        </w:rPr>
        <w:t>四</w:t>
      </w:r>
      <w:r>
        <w:rPr>
          <w:rFonts w:hint="eastAsia" w:hAnsi="黑体" w:eastAsia="黑体"/>
          <w:color w:val="000000"/>
          <w:sz w:val="32"/>
          <w:szCs w:val="32"/>
        </w:rPr>
        <w:t>、资助方式</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rPr>
      </w:pPr>
      <w:r>
        <w:rPr>
          <w:rFonts w:hint="eastAsia" w:ascii="仿宋" w:hAnsi="仿宋" w:eastAsia="仿宋"/>
          <w:sz w:val="32"/>
          <w:szCs w:val="32"/>
        </w:rPr>
        <w:t>本项</w:t>
      </w:r>
      <w:r>
        <w:rPr>
          <w:rFonts w:hint="eastAsia" w:ascii="仿宋" w:hAnsi="仿宋" w:eastAsia="仿宋"/>
          <w:sz w:val="32"/>
          <w:szCs w:val="32"/>
          <w:lang w:eastAsia="zh-CN"/>
        </w:rPr>
        <w:t>资金</w:t>
      </w:r>
      <w:r>
        <w:rPr>
          <w:rFonts w:hint="eastAsia" w:ascii="仿宋" w:hAnsi="仿宋" w:eastAsia="仿宋"/>
          <w:sz w:val="32"/>
          <w:szCs w:val="32"/>
        </w:rPr>
        <w:t>资助属于核准类项目，坚持公平、公开、公正的原则，实行自愿申报、科学决策和绩效评估的管理制度，采取无偿资助方式和事后补贴制，受资助项目无需验收。</w:t>
      </w:r>
    </w:p>
    <w:p>
      <w:pPr>
        <w:spacing w:after="0" w:line="560" w:lineRule="exact"/>
        <w:ind w:firstLine="640" w:firstLineChars="200"/>
        <w:contextualSpacing/>
        <w:rPr>
          <w:rFonts w:hAnsi="黑体" w:eastAsia="黑体"/>
          <w:color w:val="000000"/>
          <w:sz w:val="32"/>
          <w:szCs w:val="32"/>
        </w:rPr>
      </w:pPr>
      <w:r>
        <w:rPr>
          <w:rFonts w:hint="eastAsia" w:hAnsi="黑体" w:eastAsia="黑体"/>
          <w:color w:val="000000"/>
          <w:sz w:val="32"/>
          <w:szCs w:val="32"/>
          <w:lang w:eastAsia="zh-CN"/>
        </w:rPr>
        <w:t>五</w:t>
      </w:r>
      <w:r>
        <w:rPr>
          <w:rFonts w:hint="eastAsia" w:hAnsi="黑体" w:eastAsia="黑体"/>
          <w:color w:val="000000"/>
          <w:sz w:val="32"/>
          <w:szCs w:val="32"/>
        </w:rPr>
        <w:t>、</w:t>
      </w:r>
      <w:r>
        <w:rPr>
          <w:rFonts w:hint="eastAsia" w:ascii="黑体" w:hAnsi="黑体" w:eastAsia="黑体"/>
          <w:bCs/>
          <w:kern w:val="2"/>
          <w:sz w:val="32"/>
          <w:szCs w:val="32"/>
          <w:lang w:eastAsia="zh-CN" w:bidi="ar-SA"/>
        </w:rPr>
        <w:t>办理流程</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（一）申报</w:t>
      </w:r>
      <w:r>
        <w:rPr>
          <w:rFonts w:ascii="仿宋_GB2312" w:hAnsi="ˎ̥" w:eastAsia="仿宋_GB2312" w:cs="宋体"/>
          <w:sz w:val="32"/>
          <w:szCs w:val="32"/>
          <w:lang w:eastAsia="zh-CN" w:bidi="ar-SA"/>
        </w:rPr>
        <w:t>主体</w:t>
      </w:r>
      <w:r>
        <w:rPr>
          <w:rFonts w:hint="eastAsia" w:ascii="仿宋_GB2312" w:eastAsia="仿宋_GB2312"/>
          <w:sz w:val="32"/>
          <w:szCs w:val="32"/>
          <w:lang w:eastAsia="zh-CN"/>
        </w:rPr>
        <w:t>登陆</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i南山企业服务综合平台</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w:t>
      </w:r>
      <w:r>
        <w:rPr>
          <w:rFonts w:hint="eastAsia" w:ascii="仿宋_GB2312" w:eastAsia="仿宋_GB2312"/>
          <w:kern w:val="2"/>
          <w:sz w:val="32"/>
          <w:szCs w:val="32"/>
          <w:highlight w:val="none"/>
        </w:rPr>
        <w:t>https://www.inanshan.org.cn/</w:t>
      </w:r>
      <w:r>
        <w:rPr>
          <w:rFonts w:hint="eastAsia" w:ascii="仿宋_GB2312" w:eastAsia="仿宋_GB2312"/>
          <w:sz w:val="32"/>
          <w:szCs w:val="32"/>
          <w:highlight w:val="none"/>
          <w:lang w:eastAsia="zh-CN"/>
        </w:rPr>
        <w:t>）</w:t>
      </w:r>
      <w:r>
        <w:rPr>
          <w:rFonts w:hint="eastAsia" w:ascii="仿宋_GB2312" w:eastAsia="仿宋_GB2312"/>
          <w:sz w:val="32"/>
          <w:szCs w:val="32"/>
          <w:lang w:eastAsia="zh-CN"/>
        </w:rPr>
        <w:t>，网上提交项目申报材料；</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（二）区企业发展服务中心受理</w:t>
      </w:r>
      <w:r>
        <w:rPr>
          <w:rFonts w:hint="eastAsia" w:ascii="仿宋_GB2312" w:eastAsia="仿宋_GB2312"/>
          <w:kern w:val="2"/>
          <w:sz w:val="32"/>
          <w:szCs w:val="32"/>
          <w:lang w:eastAsia="zh-CN"/>
        </w:rPr>
        <w:t>申请，对申报材料进行形式性审核</w:t>
      </w:r>
      <w:r>
        <w:rPr>
          <w:rFonts w:hint="eastAsia" w:ascii="仿宋_GB2312" w:eastAsia="仿宋_GB2312"/>
          <w:sz w:val="32"/>
          <w:szCs w:val="32"/>
          <w:lang w:eastAsia="zh-CN"/>
        </w:rPr>
        <w:t xml:space="preserve">，区局复审项目申报材料； </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（三）区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局拟定资助计划；</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（四）区统计局对申报主体在地统计开展情况进行核查，</w:t>
      </w:r>
      <w:r>
        <w:rPr>
          <w:rFonts w:ascii="仿宋_GB2312" w:eastAsia="仿宋_GB2312"/>
          <w:sz w:val="32"/>
          <w:szCs w:val="32"/>
          <w:lang w:eastAsia="zh-CN"/>
        </w:rPr>
        <w:t>区企业发展服务中心组织对申报</w:t>
      </w:r>
      <w:r>
        <w:rPr>
          <w:rFonts w:hint="eastAsia" w:ascii="仿宋_GB2312" w:eastAsia="仿宋_GB2312"/>
          <w:sz w:val="32"/>
          <w:szCs w:val="32"/>
          <w:lang w:eastAsia="zh-CN"/>
        </w:rPr>
        <w:t>主体</w:t>
      </w:r>
      <w:r>
        <w:rPr>
          <w:rFonts w:ascii="仿宋_GB2312" w:eastAsia="仿宋_GB2312"/>
          <w:sz w:val="32"/>
          <w:szCs w:val="32"/>
          <w:lang w:eastAsia="zh-CN"/>
        </w:rPr>
        <w:t>的注册情况</w:t>
      </w:r>
      <w:r>
        <w:rPr>
          <w:rFonts w:hint="eastAsia" w:ascii="仿宋_GB2312" w:eastAsia="仿宋_GB2312"/>
          <w:sz w:val="32"/>
          <w:szCs w:val="32"/>
          <w:lang w:eastAsia="zh-CN"/>
        </w:rPr>
        <w:t>、</w:t>
      </w:r>
      <w:r>
        <w:rPr>
          <w:rFonts w:ascii="仿宋_GB2312" w:eastAsia="仿宋_GB2312"/>
          <w:sz w:val="32"/>
          <w:szCs w:val="32"/>
          <w:lang w:eastAsia="zh-CN"/>
        </w:rPr>
        <w:t>不良信用记录等情况进行核查</w:t>
      </w:r>
      <w:r>
        <w:rPr>
          <w:rFonts w:hint="eastAsia" w:ascii="仿宋_GB2312" w:eastAsia="仿宋_GB2312"/>
          <w:sz w:val="32"/>
          <w:szCs w:val="32"/>
          <w:lang w:eastAsia="zh-CN"/>
        </w:rPr>
        <w:t>；</w:t>
      </w:r>
    </w:p>
    <w:p>
      <w:pPr>
        <w:spacing w:after="0" w:line="560" w:lineRule="exact"/>
        <w:ind w:firstLine="640" w:firstLineChars="200"/>
        <w:contextualSpacing/>
        <w:jc w:val="both"/>
        <w:rPr>
          <w:rFonts w:ascii="仿宋_GB2312" w:eastAsia="仿宋_GB2312"/>
          <w:sz w:val="32"/>
          <w:szCs w:val="32"/>
          <w:lang w:eastAsia="zh-Hans"/>
        </w:rPr>
      </w:pPr>
      <w:r>
        <w:rPr>
          <w:rFonts w:hint="eastAsia" w:ascii="仿宋_GB2312" w:eastAsia="仿宋_GB2312"/>
          <w:sz w:val="32"/>
          <w:szCs w:val="32"/>
          <w:lang w:eastAsia="zh-Hans"/>
        </w:rPr>
        <w:t>（</w:t>
      </w:r>
      <w:r>
        <w:rPr>
          <w:rFonts w:hint="eastAsia" w:ascii="仿宋_GB2312" w:eastAsia="仿宋_GB2312"/>
          <w:sz w:val="32"/>
          <w:szCs w:val="32"/>
          <w:lang w:eastAsia="zh-CN"/>
        </w:rPr>
        <w:t>五</w:t>
      </w:r>
      <w:r>
        <w:rPr>
          <w:rFonts w:hint="eastAsia" w:ascii="仿宋_GB2312" w:eastAsia="仿宋_GB2312"/>
          <w:sz w:val="32"/>
          <w:szCs w:val="32"/>
          <w:lang w:eastAsia="zh-Hans"/>
        </w:rPr>
        <w:t>）</w:t>
      </w:r>
      <w:r>
        <w:rPr>
          <w:rFonts w:hint="eastAsia" w:ascii="仿宋_GB2312" w:hAnsi="仿宋_GB2312" w:eastAsia="仿宋_GB2312" w:cs="仿宋_GB2312"/>
          <w:sz w:val="32"/>
          <w:szCs w:val="32"/>
          <w:lang w:eastAsia="zh-CN"/>
        </w:rPr>
        <w:t>区企业</w:t>
      </w:r>
      <w:r>
        <w:rPr>
          <w:rFonts w:hint="eastAsia" w:ascii="仿宋_GB2312" w:eastAsia="仿宋_GB2312"/>
          <w:sz w:val="32"/>
          <w:szCs w:val="32"/>
          <w:lang w:eastAsia="zh-CN"/>
        </w:rPr>
        <w:t>发展</w:t>
      </w:r>
      <w:r>
        <w:rPr>
          <w:rFonts w:hint="eastAsia" w:ascii="仿宋_GB2312" w:hAnsi="仿宋_GB2312" w:eastAsia="仿宋_GB2312" w:cs="仿宋_GB2312"/>
          <w:sz w:val="32"/>
          <w:szCs w:val="32"/>
          <w:lang w:eastAsia="zh-CN"/>
        </w:rPr>
        <w:t>服务中心将拟资助项目向社会公示5个工作日，</w:t>
      </w:r>
      <w:r>
        <w:rPr>
          <w:rFonts w:hint="eastAsia" w:ascii="仿宋_GB2312" w:hAnsi="宋体" w:eastAsia="仿宋_GB2312"/>
          <w:sz w:val="32"/>
          <w:szCs w:val="32"/>
          <w:lang w:eastAsia="zh-CN"/>
        </w:rPr>
        <w:t>对公示期满，无有效投诉的项目资助计划，</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再按照相应审核程序提交会议审议</w:t>
      </w:r>
      <w:r>
        <w:rPr>
          <w:rFonts w:hint="eastAsia" w:ascii="仿宋_GB2312" w:eastAsia="仿宋_GB2312"/>
          <w:sz w:val="32"/>
          <w:szCs w:val="32"/>
          <w:lang w:eastAsia="zh-CN"/>
        </w:rPr>
        <w:t>；</w:t>
      </w:r>
    </w:p>
    <w:p>
      <w:pPr>
        <w:spacing w:after="0" w:line="560" w:lineRule="exact"/>
        <w:ind w:firstLine="640" w:firstLineChars="200"/>
        <w:contextualSpacing/>
        <w:jc w:val="both"/>
        <w:outlineLvl w:val="1"/>
        <w:rPr>
          <w:rFonts w:ascii="仿宋_GB2312" w:eastAsia="仿宋_GB2312"/>
          <w:sz w:val="32"/>
          <w:szCs w:val="32"/>
          <w:lang w:eastAsia="zh-CN"/>
        </w:rPr>
      </w:pPr>
      <w:r>
        <w:rPr>
          <w:rFonts w:hint="eastAsia" w:ascii="仿宋_GB2312" w:eastAsia="仿宋_GB2312"/>
          <w:sz w:val="32"/>
          <w:szCs w:val="32"/>
          <w:lang w:eastAsia="zh-CN"/>
        </w:rPr>
        <w:t>（</w:t>
      </w:r>
      <w:r>
        <w:rPr>
          <w:rFonts w:ascii="仿宋_GB2312" w:eastAsia="仿宋_GB2312"/>
          <w:sz w:val="32"/>
          <w:szCs w:val="32"/>
          <w:lang w:eastAsia="zh-CN"/>
        </w:rPr>
        <w:t>六</w:t>
      </w:r>
      <w:r>
        <w:rPr>
          <w:rFonts w:hint="eastAsia" w:ascii="仿宋_GB2312" w:eastAsia="仿宋_GB2312"/>
          <w:sz w:val="32"/>
          <w:szCs w:val="32"/>
          <w:lang w:eastAsia="zh-CN"/>
        </w:rPr>
        <w:t>）经审议后，由区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局直接行文下达资金计划；</w:t>
      </w:r>
    </w:p>
    <w:p>
      <w:pPr>
        <w:spacing w:after="0" w:line="560" w:lineRule="exact"/>
        <w:ind w:firstLine="640" w:firstLineChars="200"/>
        <w:contextualSpacing/>
        <w:jc w:val="both"/>
        <w:outlineLvl w:val="1"/>
        <w:rPr>
          <w:color w:val="auto"/>
        </w:rPr>
      </w:pPr>
      <w:r>
        <w:rPr>
          <w:rFonts w:hint="eastAsia" w:ascii="仿宋_GB2312" w:hAnsi="宋体" w:eastAsia="仿宋_GB2312"/>
          <w:sz w:val="32"/>
          <w:szCs w:val="32"/>
          <w:lang w:eastAsia="zh-CN"/>
        </w:rPr>
        <w:t>（七）区财政部门及时安排资金，</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办理资金拨付手续</w:t>
      </w:r>
      <w:r>
        <w:rPr>
          <w:rFonts w:hint="eastAsia" w:ascii="仿宋_GB2312" w:eastAsia="仿宋_GB2312"/>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rPr>
      </w:pPr>
      <w:r>
        <w:rPr>
          <w:rFonts w:hint="eastAsia" w:hAnsi="黑体" w:eastAsia="黑体"/>
          <w:color w:val="000000"/>
          <w:sz w:val="32"/>
          <w:szCs w:val="32"/>
          <w:lang w:eastAsia="zh-CN"/>
        </w:rPr>
        <w:t>六</w:t>
      </w:r>
      <w:r>
        <w:rPr>
          <w:rFonts w:hint="eastAsia" w:hAnsi="黑体" w:eastAsia="黑体"/>
          <w:color w:val="000000"/>
          <w:sz w:val="32"/>
          <w:szCs w:val="32"/>
        </w:rPr>
        <w:t>、所需材料</w:t>
      </w:r>
    </w:p>
    <w:p>
      <w:pPr>
        <w:adjustRightInd w:val="0"/>
        <w:snapToGrid w:val="0"/>
        <w:spacing w:line="560" w:lineRule="exact"/>
        <w:ind w:firstLine="656" w:firstLineChars="200"/>
        <w:rPr>
          <w:rFonts w:hint="eastAsia" w:ascii="仿宋_GB2312" w:hAnsi="宋体" w:eastAsia="仿宋_GB2312" w:cs="宋体"/>
          <w:spacing w:val="4"/>
          <w:kern w:val="0"/>
          <w:sz w:val="32"/>
          <w:szCs w:val="32"/>
          <w:lang w:val="en-US" w:eastAsia="zh-CN"/>
        </w:rPr>
      </w:pPr>
      <w:r>
        <w:rPr>
          <w:rFonts w:hint="eastAsia" w:ascii="仿宋_GB2312" w:hAnsi="宋体" w:eastAsia="仿宋_GB2312" w:cs="宋体"/>
          <w:spacing w:val="4"/>
          <w:kern w:val="0"/>
          <w:sz w:val="32"/>
          <w:szCs w:val="32"/>
        </w:rPr>
        <w:t>登录“i南山企业服务综合平台”（https://www.inanshan.org.cn/）在线填写《鼓励建设文化和科技融合示范基地项目》</w:t>
      </w:r>
      <w:r>
        <w:rPr>
          <w:rFonts w:hint="eastAsia" w:ascii="仿宋_GB2312" w:hAnsi="宋体" w:eastAsia="仿宋_GB2312" w:cs="宋体"/>
          <w:spacing w:val="4"/>
          <w:kern w:val="0"/>
          <w:sz w:val="32"/>
          <w:szCs w:val="32"/>
          <w:lang w:eastAsia="zh-CN"/>
        </w:rPr>
        <w:t>申请书</w:t>
      </w:r>
      <w:r>
        <w:rPr>
          <w:rFonts w:hint="eastAsia" w:ascii="仿宋_GB2312" w:hAnsi="宋体" w:eastAsia="仿宋_GB2312" w:cs="宋体"/>
          <w:spacing w:val="4"/>
          <w:kern w:val="0"/>
          <w:sz w:val="32"/>
          <w:szCs w:val="32"/>
        </w:rPr>
        <w:t>。</w:t>
      </w:r>
      <w:r>
        <w:rPr>
          <w:rFonts w:hint="eastAsia" w:ascii="仿宋_GB2312" w:hAnsi="宋体" w:eastAsia="仿宋_GB2312" w:cs="宋体"/>
          <w:spacing w:val="4"/>
          <w:kern w:val="0"/>
          <w:sz w:val="32"/>
          <w:szCs w:val="32"/>
          <w:lang w:val="en-US" w:eastAsia="zh-CN"/>
        </w:rPr>
        <w:t>(注：申请书编号以最终提交申请书生成为准，附件清单材料为佐证材料。)</w:t>
      </w:r>
    </w:p>
    <w:tbl>
      <w:tblPr>
        <w:tblStyle w:val="9"/>
        <w:tblW w:w="86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787"/>
        <w:gridCol w:w="1590"/>
        <w:gridCol w:w="1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jc w:val="center"/>
              <w:rPr>
                <w:rFonts w:ascii="楷体" w:hAnsi="楷体" w:eastAsia="楷体"/>
                <w:b/>
                <w:bCs/>
                <w:sz w:val="24"/>
              </w:rPr>
            </w:pPr>
            <w:r>
              <w:rPr>
                <w:rFonts w:hint="eastAsia" w:ascii="楷体" w:hAnsi="楷体" w:eastAsia="楷体"/>
                <w:b/>
                <w:bCs/>
                <w:sz w:val="24"/>
              </w:rPr>
              <w:t>序号</w:t>
            </w:r>
          </w:p>
        </w:tc>
        <w:tc>
          <w:tcPr>
            <w:tcW w:w="4787" w:type="dxa"/>
            <w:vAlign w:val="center"/>
          </w:tcPr>
          <w:p>
            <w:pPr>
              <w:jc w:val="center"/>
              <w:rPr>
                <w:rFonts w:ascii="楷体" w:hAnsi="楷体" w:eastAsia="楷体"/>
                <w:b/>
                <w:bCs/>
                <w:sz w:val="24"/>
              </w:rPr>
            </w:pPr>
            <w:r>
              <w:rPr>
                <w:rFonts w:hint="eastAsia" w:ascii="楷体" w:hAnsi="楷体" w:eastAsia="楷体"/>
                <w:b/>
                <w:bCs/>
                <w:sz w:val="24"/>
              </w:rPr>
              <w:t>附件名称</w:t>
            </w:r>
          </w:p>
        </w:tc>
        <w:tc>
          <w:tcPr>
            <w:tcW w:w="1590" w:type="dxa"/>
            <w:vAlign w:val="center"/>
          </w:tcPr>
          <w:p>
            <w:pPr>
              <w:jc w:val="center"/>
              <w:rPr>
                <w:rFonts w:ascii="楷体" w:hAnsi="楷体" w:eastAsia="楷体"/>
                <w:b/>
                <w:bCs/>
                <w:sz w:val="24"/>
              </w:rPr>
            </w:pPr>
            <w:r>
              <w:rPr>
                <w:rFonts w:hint="eastAsia" w:ascii="楷体" w:hAnsi="楷体" w:eastAsia="楷体"/>
                <w:b/>
                <w:bCs/>
                <w:sz w:val="24"/>
              </w:rPr>
              <w:t>是否必备材料</w:t>
            </w:r>
          </w:p>
        </w:tc>
        <w:tc>
          <w:tcPr>
            <w:tcW w:w="1545" w:type="dxa"/>
            <w:vAlign w:val="center"/>
          </w:tcPr>
          <w:p>
            <w:pPr>
              <w:jc w:val="center"/>
              <w:rPr>
                <w:rFonts w:ascii="楷体" w:hAnsi="楷体" w:eastAsia="楷体"/>
                <w:b/>
                <w:bCs/>
                <w:sz w:val="24"/>
              </w:rPr>
            </w:pPr>
            <w:r>
              <w:rPr>
                <w:rFonts w:hint="eastAsia" w:ascii="楷体" w:hAnsi="楷体" w:eastAsia="楷体"/>
                <w:b/>
                <w:bCs/>
                <w:sz w:val="24"/>
              </w:rPr>
              <w:t>网上提交资料要求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trPr>
        <w:tc>
          <w:tcPr>
            <w:tcW w:w="709" w:type="dxa"/>
            <w:vAlign w:val="center"/>
          </w:tcPr>
          <w:p>
            <w:pPr>
              <w:jc w:val="center"/>
              <w:rPr>
                <w:rFonts w:ascii="楷体" w:hAnsi="楷体" w:eastAsia="楷体"/>
                <w:sz w:val="24"/>
              </w:rPr>
            </w:pPr>
            <w:r>
              <w:rPr>
                <w:rFonts w:hint="eastAsia" w:ascii="楷体" w:hAnsi="楷体" w:eastAsia="楷体"/>
                <w:sz w:val="24"/>
              </w:rPr>
              <w:t>1</w:t>
            </w:r>
          </w:p>
        </w:tc>
        <w:tc>
          <w:tcPr>
            <w:tcW w:w="4787" w:type="dxa"/>
            <w:vAlign w:val="center"/>
          </w:tcPr>
          <w:p>
            <w:pPr>
              <w:jc w:val="left"/>
              <w:rPr>
                <w:rFonts w:ascii="楷体" w:hAnsi="楷体" w:eastAsia="楷体"/>
                <w:sz w:val="24"/>
              </w:rPr>
            </w:pPr>
            <w:r>
              <w:rPr>
                <w:rFonts w:hint="eastAsia" w:ascii="楷体" w:hAnsi="楷体" w:eastAsia="楷体"/>
                <w:sz w:val="24"/>
              </w:rPr>
              <w:t>新版</w:t>
            </w:r>
            <w:r>
              <w:rPr>
                <w:rFonts w:ascii="楷体" w:hAnsi="楷体" w:eastAsia="楷体"/>
                <w:sz w:val="24"/>
              </w:rPr>
              <w:t>“</w:t>
            </w:r>
            <w:r>
              <w:rPr>
                <w:rFonts w:hint="eastAsia" w:ascii="楷体" w:hAnsi="楷体" w:eastAsia="楷体"/>
                <w:sz w:val="24"/>
              </w:rPr>
              <w:t>三证合一</w:t>
            </w:r>
            <w:r>
              <w:rPr>
                <w:rFonts w:ascii="楷体" w:hAnsi="楷体" w:eastAsia="楷体"/>
                <w:sz w:val="24"/>
              </w:rPr>
              <w:t>”</w:t>
            </w:r>
            <w:r>
              <w:rPr>
                <w:rFonts w:hint="eastAsia" w:ascii="楷体" w:hAnsi="楷体" w:eastAsia="楷体"/>
                <w:sz w:val="24"/>
              </w:rPr>
              <w:t>营业执照（事业单位提交新版“三证合一”法人证书）</w:t>
            </w:r>
          </w:p>
        </w:tc>
        <w:tc>
          <w:tcPr>
            <w:tcW w:w="1590" w:type="dxa"/>
            <w:vAlign w:val="center"/>
          </w:tcPr>
          <w:p>
            <w:pPr>
              <w:jc w:val="center"/>
              <w:rPr>
                <w:rFonts w:ascii="楷体" w:hAnsi="楷体" w:eastAsia="楷体"/>
                <w:sz w:val="24"/>
              </w:rPr>
            </w:pPr>
            <w:r>
              <w:rPr>
                <w:rFonts w:hint="eastAsia" w:ascii="楷体" w:hAnsi="楷体" w:eastAsia="楷体"/>
                <w:sz w:val="24"/>
              </w:rPr>
              <w:t>是</w:t>
            </w:r>
          </w:p>
        </w:tc>
        <w:tc>
          <w:tcPr>
            <w:tcW w:w="1545" w:type="dxa"/>
            <w:vMerge w:val="restart"/>
            <w:vAlign w:val="center"/>
          </w:tcPr>
          <w:p>
            <w:pPr>
              <w:jc w:val="center"/>
              <w:rPr>
                <w:rFonts w:ascii="楷体" w:hAnsi="楷体" w:eastAsia="楷体"/>
                <w:sz w:val="24"/>
              </w:rPr>
            </w:pPr>
            <w:r>
              <w:rPr>
                <w:rFonts w:hint="eastAsia" w:ascii="楷体" w:hAnsi="楷体" w:eastAsia="楷体"/>
                <w:sz w:val="24"/>
              </w:rPr>
              <w:t>原件彩色扫描；P</w:t>
            </w:r>
            <w:r>
              <w:rPr>
                <w:rFonts w:ascii="楷体" w:hAnsi="楷体" w:eastAsia="楷体"/>
                <w:sz w:val="24"/>
              </w:rPr>
              <w:t>DF</w:t>
            </w:r>
            <w:r>
              <w:rPr>
                <w:rFonts w:hint="eastAsia" w:ascii="楷体" w:hAnsi="楷体" w:eastAsia="楷体"/>
                <w:sz w:val="24"/>
              </w:rPr>
              <w:t>格式上传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709" w:type="dxa"/>
            <w:vAlign w:val="center"/>
          </w:tcPr>
          <w:p>
            <w:pPr>
              <w:jc w:val="center"/>
              <w:rPr>
                <w:rFonts w:ascii="楷体" w:hAnsi="楷体" w:eastAsia="楷体"/>
                <w:sz w:val="24"/>
              </w:rPr>
            </w:pPr>
            <w:r>
              <w:rPr>
                <w:rFonts w:hint="eastAsia" w:ascii="楷体" w:hAnsi="楷体" w:eastAsia="楷体"/>
                <w:sz w:val="24"/>
              </w:rPr>
              <w:t>2</w:t>
            </w:r>
          </w:p>
        </w:tc>
        <w:tc>
          <w:tcPr>
            <w:tcW w:w="4787" w:type="dxa"/>
            <w:vAlign w:val="center"/>
          </w:tcPr>
          <w:p>
            <w:pPr>
              <w:jc w:val="left"/>
              <w:rPr>
                <w:rFonts w:ascii="楷体" w:hAnsi="楷体" w:eastAsia="楷体"/>
                <w:sz w:val="24"/>
              </w:rPr>
            </w:pPr>
            <w:r>
              <w:rPr>
                <w:rFonts w:hint="eastAsia" w:ascii="楷体" w:hAnsi="楷体" w:eastAsia="楷体"/>
                <w:sz w:val="24"/>
              </w:rPr>
              <w:t>法定代表人身份证</w:t>
            </w:r>
          </w:p>
        </w:tc>
        <w:tc>
          <w:tcPr>
            <w:tcW w:w="1590" w:type="dxa"/>
            <w:vAlign w:val="center"/>
          </w:tcPr>
          <w:p>
            <w:pPr>
              <w:jc w:val="center"/>
              <w:rPr>
                <w:rFonts w:ascii="楷体" w:hAnsi="楷体" w:eastAsia="楷体"/>
                <w:sz w:val="24"/>
              </w:rPr>
            </w:pPr>
            <w:r>
              <w:rPr>
                <w:rFonts w:hint="eastAsia" w:ascii="楷体" w:hAnsi="楷体" w:eastAsia="楷体"/>
                <w:sz w:val="24"/>
              </w:rPr>
              <w:t>是</w:t>
            </w:r>
          </w:p>
        </w:tc>
        <w:tc>
          <w:tcPr>
            <w:tcW w:w="1545" w:type="dxa"/>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trPr>
        <w:tc>
          <w:tcPr>
            <w:tcW w:w="709" w:type="dxa"/>
            <w:vAlign w:val="center"/>
          </w:tcPr>
          <w:p>
            <w:pPr>
              <w:jc w:val="center"/>
              <w:rPr>
                <w:rFonts w:ascii="楷体" w:hAnsi="楷体" w:eastAsia="楷体"/>
                <w:sz w:val="24"/>
              </w:rPr>
            </w:pPr>
            <w:r>
              <w:rPr>
                <w:rFonts w:hint="eastAsia" w:ascii="楷体" w:hAnsi="楷体" w:eastAsia="楷体"/>
                <w:sz w:val="24"/>
              </w:rPr>
              <w:t>3</w:t>
            </w:r>
          </w:p>
        </w:tc>
        <w:tc>
          <w:tcPr>
            <w:tcW w:w="4787" w:type="dxa"/>
            <w:vAlign w:val="center"/>
          </w:tcPr>
          <w:p>
            <w:pPr>
              <w:jc w:val="left"/>
              <w:rPr>
                <w:rFonts w:ascii="楷体" w:hAnsi="楷体" w:eastAsia="楷体"/>
                <w:sz w:val="24"/>
              </w:rPr>
            </w:pPr>
            <w:r>
              <w:rPr>
                <w:rFonts w:hint="eastAsia" w:ascii="楷体" w:hAnsi="楷体" w:eastAsia="楷体"/>
                <w:sz w:val="24"/>
              </w:rPr>
              <w:t>税务部门提供的单位上一年度的纳税证明</w:t>
            </w:r>
          </w:p>
        </w:tc>
        <w:tc>
          <w:tcPr>
            <w:tcW w:w="1590" w:type="dxa"/>
            <w:vAlign w:val="center"/>
          </w:tcPr>
          <w:p>
            <w:pPr>
              <w:jc w:val="center"/>
              <w:rPr>
                <w:rFonts w:ascii="楷体" w:hAnsi="楷体" w:eastAsia="楷体"/>
                <w:sz w:val="24"/>
              </w:rPr>
            </w:pPr>
            <w:r>
              <w:rPr>
                <w:rFonts w:hint="eastAsia" w:ascii="楷体" w:hAnsi="楷体" w:eastAsia="楷体"/>
                <w:sz w:val="24"/>
              </w:rPr>
              <w:t>是</w:t>
            </w:r>
          </w:p>
        </w:tc>
        <w:tc>
          <w:tcPr>
            <w:tcW w:w="1545" w:type="dxa"/>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trPr>
        <w:tc>
          <w:tcPr>
            <w:tcW w:w="709" w:type="dxa"/>
            <w:vAlign w:val="center"/>
          </w:tcPr>
          <w:p>
            <w:pPr>
              <w:jc w:val="center"/>
              <w:rPr>
                <w:rFonts w:ascii="楷体" w:hAnsi="楷体" w:eastAsia="楷体"/>
                <w:sz w:val="24"/>
              </w:rPr>
            </w:pPr>
            <w:r>
              <w:rPr>
                <w:rFonts w:hint="eastAsia" w:ascii="楷体" w:hAnsi="楷体" w:eastAsia="楷体"/>
                <w:sz w:val="24"/>
              </w:rPr>
              <w:t>4</w:t>
            </w:r>
          </w:p>
        </w:tc>
        <w:tc>
          <w:tcPr>
            <w:tcW w:w="4787" w:type="dxa"/>
            <w:vAlign w:val="center"/>
          </w:tcPr>
          <w:p>
            <w:pPr>
              <w:jc w:val="left"/>
              <w:rPr>
                <w:rFonts w:ascii="楷体" w:hAnsi="楷体" w:eastAsia="楷体"/>
                <w:sz w:val="24"/>
              </w:rPr>
            </w:pPr>
            <w:r>
              <w:rPr>
                <w:rFonts w:hint="eastAsia" w:ascii="楷体" w:hAnsi="楷体" w:eastAsia="楷体"/>
                <w:sz w:val="24"/>
              </w:rPr>
              <w:t>国家文化和科技融合示范基地（集聚类）</w:t>
            </w:r>
            <w:r>
              <w:rPr>
                <w:rFonts w:hint="eastAsia" w:ascii="楷体" w:hAnsi="楷体" w:eastAsia="楷体"/>
                <w:sz w:val="24"/>
                <w:lang w:eastAsia="zh-CN"/>
              </w:rPr>
              <w:t>、</w:t>
            </w:r>
            <w:r>
              <w:rPr>
                <w:rFonts w:hint="eastAsia" w:ascii="楷体" w:hAnsi="楷体" w:eastAsia="楷体"/>
                <w:sz w:val="24"/>
              </w:rPr>
              <w:t>国家文化科技融合示范基地（单体类）</w:t>
            </w:r>
            <w:r>
              <w:rPr>
                <w:rFonts w:hint="eastAsia" w:ascii="楷体" w:hAnsi="楷体" w:eastAsia="楷体"/>
                <w:sz w:val="24"/>
                <w:lang w:eastAsia="zh-CN"/>
              </w:rPr>
              <w:t>或国家文化和科技融合领军企业</w:t>
            </w:r>
            <w:r>
              <w:rPr>
                <w:rFonts w:hint="eastAsia" w:ascii="楷体" w:hAnsi="楷体" w:eastAsia="楷体"/>
                <w:sz w:val="24"/>
              </w:rPr>
              <w:t>证书/奖牌/文件等</w:t>
            </w:r>
          </w:p>
        </w:tc>
        <w:tc>
          <w:tcPr>
            <w:tcW w:w="1590" w:type="dxa"/>
            <w:vAlign w:val="center"/>
          </w:tcPr>
          <w:p>
            <w:pPr>
              <w:jc w:val="center"/>
              <w:rPr>
                <w:rFonts w:ascii="楷体" w:hAnsi="楷体" w:eastAsia="楷体"/>
                <w:sz w:val="24"/>
              </w:rPr>
            </w:pPr>
            <w:r>
              <w:rPr>
                <w:rFonts w:hint="eastAsia" w:ascii="楷体" w:hAnsi="楷体" w:eastAsia="楷体"/>
                <w:sz w:val="24"/>
              </w:rPr>
              <w:t>是</w:t>
            </w:r>
          </w:p>
        </w:tc>
        <w:tc>
          <w:tcPr>
            <w:tcW w:w="1545" w:type="dxa"/>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709" w:type="dxa"/>
            <w:vAlign w:val="center"/>
          </w:tcPr>
          <w:p>
            <w:pPr>
              <w:jc w:val="center"/>
              <w:rPr>
                <w:rFonts w:ascii="楷体" w:hAnsi="楷体" w:eastAsia="楷体"/>
                <w:sz w:val="24"/>
              </w:rPr>
            </w:pPr>
            <w:r>
              <w:rPr>
                <w:rFonts w:hint="eastAsia" w:ascii="楷体" w:hAnsi="楷体" w:eastAsia="楷体"/>
                <w:sz w:val="24"/>
              </w:rPr>
              <w:t>5</w:t>
            </w:r>
          </w:p>
        </w:tc>
        <w:tc>
          <w:tcPr>
            <w:tcW w:w="4787" w:type="dxa"/>
            <w:vAlign w:val="center"/>
          </w:tcPr>
          <w:p>
            <w:pPr>
              <w:jc w:val="left"/>
              <w:rPr>
                <w:rFonts w:ascii="楷体" w:hAnsi="楷体" w:eastAsia="楷体"/>
                <w:sz w:val="24"/>
              </w:rPr>
            </w:pPr>
            <w:r>
              <w:rPr>
                <w:rFonts w:hint="eastAsia" w:ascii="楷体" w:hAnsi="楷体" w:eastAsia="楷体"/>
                <w:sz w:val="24"/>
              </w:rPr>
              <w:t>其它附件（如有）</w:t>
            </w:r>
          </w:p>
        </w:tc>
        <w:tc>
          <w:tcPr>
            <w:tcW w:w="1590" w:type="dxa"/>
            <w:vAlign w:val="center"/>
          </w:tcPr>
          <w:p>
            <w:pPr>
              <w:jc w:val="center"/>
              <w:rPr>
                <w:rFonts w:ascii="楷体" w:hAnsi="楷体" w:eastAsia="楷体"/>
                <w:sz w:val="24"/>
              </w:rPr>
            </w:pPr>
            <w:r>
              <w:rPr>
                <w:rFonts w:hint="eastAsia" w:ascii="楷体" w:hAnsi="楷体" w:eastAsia="楷体"/>
                <w:sz w:val="24"/>
              </w:rPr>
              <w:t>否</w:t>
            </w:r>
          </w:p>
        </w:tc>
        <w:tc>
          <w:tcPr>
            <w:tcW w:w="1545" w:type="dxa"/>
            <w:vMerge w:val="continue"/>
            <w:vAlign w:val="center"/>
          </w:tcPr>
          <w:p>
            <w:pPr>
              <w:jc w:val="center"/>
              <w:rPr>
                <w:rFonts w:ascii="楷体" w:hAnsi="楷体" w:eastAsia="楷体"/>
                <w:sz w:val="24"/>
              </w:rPr>
            </w:pPr>
          </w:p>
        </w:tc>
      </w:tr>
    </w:tbl>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ascii="Times New Roman" w:hAnsi="Times New Roman" w:eastAsia="黑体" w:cs="Times New Roman"/>
          <w:color w:val="000000"/>
          <w:kern w:val="2"/>
          <w:sz w:val="32"/>
          <w:szCs w:val="32"/>
        </w:rPr>
      </w:pPr>
      <w:r>
        <w:rPr>
          <w:rFonts w:hint="eastAsia" w:ascii="Times New Roman" w:hAnsi="黑体" w:eastAsia="黑体" w:cs="Times New Roman"/>
          <w:color w:val="000000"/>
          <w:kern w:val="2"/>
          <w:sz w:val="32"/>
          <w:szCs w:val="32"/>
          <w:lang w:eastAsia="zh-CN"/>
        </w:rPr>
        <w:t>七</w:t>
      </w:r>
      <w:r>
        <w:rPr>
          <w:rFonts w:hint="eastAsia" w:ascii="Times New Roman" w:hAnsi="黑体" w:eastAsia="黑体" w:cs="Times New Roman"/>
          <w:color w:val="000000"/>
          <w:kern w:val="2"/>
          <w:sz w:val="32"/>
          <w:szCs w:val="32"/>
        </w:rPr>
        <w:t>、其他事项</w:t>
      </w:r>
    </w:p>
    <w:p>
      <w:pPr>
        <w:spacing w:after="0" w:line="560" w:lineRule="exact"/>
        <w:ind w:firstLine="640" w:firstLineChars="200"/>
        <w:contextualSpacing/>
        <w:rPr>
          <w:rFonts w:hint="eastAsia" w:ascii="仿宋_GB2312" w:hAnsi="仿宋" w:eastAsia="仿宋_GB2312"/>
          <w:sz w:val="32"/>
          <w:szCs w:val="32"/>
          <w:lang w:eastAsia="zh-CN"/>
        </w:rPr>
      </w:pPr>
      <w:r>
        <w:rPr>
          <w:rFonts w:hint="eastAsia" w:ascii="仿宋_GB2312" w:hAnsi="仿宋" w:eastAsia="仿宋_GB2312"/>
          <w:sz w:val="32"/>
          <w:szCs w:val="32"/>
          <w:lang w:eastAsia="zh-CN"/>
        </w:rPr>
        <w:t>申请本项目资助的企业应保证其申报材料的完整性、真实性、准确性及合法性，并承担所提交的项目申报材料的相关法律责任，如有虚假或侵权等行为，该项目申请无效，如事后发现存在以上行为，本资金主管部门将保留依法追究其法律责任的权利。</w:t>
      </w: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Times New Roman" w:hAnsi="Times New Roman" w:eastAsia="黑体" w:cs="Times New Roman"/>
          <w:color w:val="000000"/>
          <w:kern w:val="2"/>
          <w:sz w:val="32"/>
          <w:szCs w:val="32"/>
        </w:rPr>
      </w:pPr>
      <w:r>
        <w:rPr>
          <w:rFonts w:hint="eastAsia" w:ascii="Times New Roman" w:hAnsi="黑体" w:eastAsia="黑体" w:cs="Times New Roman"/>
          <w:color w:val="000000"/>
          <w:kern w:val="2"/>
          <w:sz w:val="32"/>
          <w:szCs w:val="32"/>
          <w:lang w:eastAsia="zh-CN"/>
        </w:rPr>
        <w:t>八</w:t>
      </w:r>
      <w:r>
        <w:rPr>
          <w:rFonts w:hint="eastAsia" w:ascii="Times New Roman" w:hAnsi="黑体" w:eastAsia="黑体" w:cs="Times New Roman"/>
          <w:color w:val="000000"/>
          <w:kern w:val="2"/>
          <w:sz w:val="32"/>
          <w:szCs w:val="32"/>
        </w:rPr>
        <w:t>、附则</w:t>
      </w:r>
    </w:p>
    <w:p>
      <w:pPr>
        <w:spacing w:after="0" w:line="560" w:lineRule="exact"/>
        <w:ind w:firstLine="640" w:firstLineChars="200"/>
        <w:contextualSpacing/>
        <w:rPr>
          <w:rFonts w:hint="eastAsia" w:ascii="仿宋_GB2312" w:hAnsi="宋体" w:eastAsia="仿宋_GB2312" w:cs="宋体"/>
          <w:spacing w:val="4"/>
          <w:kern w:val="0"/>
          <w:sz w:val="32"/>
          <w:szCs w:val="32"/>
          <w:lang w:val="en-US" w:eastAsia="zh-CN" w:bidi="ar-SA"/>
        </w:rPr>
      </w:pPr>
      <w:r>
        <w:rPr>
          <w:rFonts w:hint="eastAsia" w:ascii="仿宋_GB2312" w:hAnsi="仿宋" w:eastAsia="仿宋_GB2312"/>
          <w:sz w:val="32"/>
          <w:szCs w:val="32"/>
          <w:lang w:eastAsia="zh-CN"/>
        </w:rPr>
        <w:t>本项目责任部门为区</w:t>
      </w:r>
      <w:r>
        <w:rPr>
          <w:rFonts w:hint="eastAsia" w:ascii="仿宋_GB2312" w:hAnsi="仿宋" w:eastAsia="仿宋_GB2312"/>
          <w:sz w:val="32"/>
          <w:szCs w:val="32"/>
          <w:lang w:val="en-US" w:eastAsia="zh-CN"/>
        </w:rPr>
        <w:t>文化广电旅游体育</w:t>
      </w:r>
      <w:r>
        <w:rPr>
          <w:rFonts w:hint="eastAsia" w:ascii="仿宋_GB2312" w:hAnsi="仿宋" w:eastAsia="仿宋_GB2312"/>
          <w:sz w:val="32"/>
          <w:szCs w:val="32"/>
          <w:lang w:eastAsia="zh-CN"/>
        </w:rPr>
        <w:t>局，本操作规程由其负责解释，自发布之日起施行。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CC"/>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0" w:usb3="00000000" w:csb0="2000019F" w:csb1="00000000"/>
  </w:font>
  <w:font w:name="楷体_GB2312">
    <w:altName w:val="方正楷体_GBK"/>
    <w:panose1 w:val="02010609030101010101"/>
    <w:charset w:val="86"/>
    <w:family w:val="auto"/>
    <w:pitch w:val="default"/>
    <w:sig w:usb0="00000000" w:usb1="00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ˎ̥">
    <w:altName w:val="华文仿宋"/>
    <w:panose1 w:val="00000000000000000000"/>
    <w:charset w:val="00"/>
    <w:family w:val="roman"/>
    <w:pitch w:val="default"/>
    <w:sig w:usb0="00000000" w:usb1="00000000" w:usb2="00000000"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kOTVjMjVlZTU3MjBlMDIzM2FkMDQ2NDA5MWMzMGEifQ=="/>
  </w:docVars>
  <w:rsids>
    <w:rsidRoot w:val="1E9B000F"/>
    <w:rsid w:val="095C7285"/>
    <w:rsid w:val="104D08F5"/>
    <w:rsid w:val="168B0344"/>
    <w:rsid w:val="191963C6"/>
    <w:rsid w:val="1C5E57FD"/>
    <w:rsid w:val="1E395720"/>
    <w:rsid w:val="1E9B000F"/>
    <w:rsid w:val="32880B83"/>
    <w:rsid w:val="365F39E8"/>
    <w:rsid w:val="3AA4543E"/>
    <w:rsid w:val="3BD35D10"/>
    <w:rsid w:val="3DCA2925"/>
    <w:rsid w:val="3EC479C0"/>
    <w:rsid w:val="426A76EE"/>
    <w:rsid w:val="42D91274"/>
    <w:rsid w:val="431D4C7D"/>
    <w:rsid w:val="432C2634"/>
    <w:rsid w:val="44E3575E"/>
    <w:rsid w:val="45AA4E76"/>
    <w:rsid w:val="4C013324"/>
    <w:rsid w:val="4CE6EBC2"/>
    <w:rsid w:val="52726635"/>
    <w:rsid w:val="5832212A"/>
    <w:rsid w:val="594D7C04"/>
    <w:rsid w:val="59896CCD"/>
    <w:rsid w:val="62A72E7A"/>
    <w:rsid w:val="6D3414FD"/>
    <w:rsid w:val="70257FF6"/>
    <w:rsid w:val="763D13E3"/>
    <w:rsid w:val="777F4B17"/>
    <w:rsid w:val="7D9C7C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jc w:val="center"/>
      <w:outlineLvl w:val="0"/>
    </w:pPr>
    <w:rPr>
      <w:rFonts w:eastAsia="黑体"/>
      <w:bCs/>
      <w:kern w:val="44"/>
      <w:szCs w:val="44"/>
    </w:rPr>
  </w:style>
  <w:style w:type="paragraph" w:styleId="4">
    <w:name w:val="heading 2"/>
    <w:basedOn w:val="1"/>
    <w:next w:val="1"/>
    <w:unhideWhenUsed/>
    <w:qFormat/>
    <w:uiPriority w:val="0"/>
    <w:pPr>
      <w:keepNext/>
      <w:keepLines/>
      <w:ind w:firstLine="200" w:firstLineChars="200"/>
      <w:outlineLvl w:val="1"/>
    </w:pPr>
    <w:rPr>
      <w:rFonts w:eastAsia="楷体_GB2312" w:asciiTheme="majorHAnsi" w:hAnsiTheme="majorHAnsi" w:cstheme="majorBidi"/>
      <w:b/>
      <w:bCs/>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textAlignment w:val="baseline"/>
    </w:pPr>
    <w:rPr>
      <w:rFonts w:ascii="Cambria" w:hAnsi="Cambria" w:eastAsia="宋体" w:cs="Times New Roman"/>
      <w:b/>
      <w:bCs/>
      <w:sz w:val="28"/>
      <w:szCs w:val="28"/>
    </w:rPr>
  </w:style>
  <w:style w:type="paragraph" w:styleId="5">
    <w:name w:val="Body Text Indent"/>
    <w:basedOn w:val="1"/>
    <w:qFormat/>
    <w:uiPriority w:val="0"/>
    <w:pPr>
      <w:adjustRightInd w:val="0"/>
      <w:snapToGrid w:val="0"/>
      <w:spacing w:line="300" w:lineRule="auto"/>
      <w:ind w:firstLine="720" w:firstLineChars="225"/>
    </w:pPr>
    <w:rPr>
      <w:rFonts w:ascii="仿宋_GB2312" w:eastAsia="仿宋_GB2312"/>
      <w:color w:val="000000"/>
      <w:sz w:val="32"/>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font5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1633</Words>
  <Characters>1707</Characters>
  <Lines>0</Lines>
  <Paragraphs>0</Paragraphs>
  <TotalTime>0</TotalTime>
  <ScaleCrop>false</ScaleCrop>
  <LinksUpToDate>false</LinksUpToDate>
  <CharactersWithSpaces>1708</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2021-04-24T01:41:00Z</dcterms:created>
  <dc:creator>王榕</dc:creator>
  <cp:lastModifiedBy>杨璐源</cp:lastModifiedBy>
  <cp:lastPrinted>2021-06-04T19:15:00Z</cp:lastPrinted>
  <dcterms:modified xsi:type="dcterms:W3CDTF">2024-01-09T15:34:58Z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E23379365CDA41828314402465583E6F</vt:lpwstr>
  </property>
</Properties>
</file>