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ind w:left="30" w:right="30" w:firstLine="862"/>
        <w:jc w:val="left"/>
        <w:rPr>
          <w:rFonts w:cs="宋体" w:asciiTheme="minorEastAsia" w:hAnsiTheme="minorEastAsia" w:eastAsiaTheme="minorEastAsia"/>
          <w:color w:val="auto"/>
          <w:kern w:val="0"/>
          <w:sz w:val="44"/>
          <w:szCs w:val="44"/>
          <w:lang w:bidi="ar"/>
        </w:rPr>
      </w:pP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eastAsia="方正小标宋简体"/>
          <w:color w:val="auto"/>
          <w:sz w:val="44"/>
          <w:szCs w:val="44"/>
        </w:rPr>
        <w:t>2024年</w:t>
      </w:r>
      <w:r>
        <w:rPr>
          <w:rFonts w:hint="eastAsia" w:ascii="方正小标宋简体" w:hAnsi="宋体" w:eastAsia="方正小标宋简体"/>
          <w:color w:val="auto"/>
          <w:kern w:val="0"/>
          <w:sz w:val="44"/>
          <w:szCs w:val="44"/>
          <w:lang w:bidi="ar"/>
        </w:rPr>
        <w:t>市工业和信息化局软件产业高质量</w:t>
      </w:r>
    </w:p>
    <w:p>
      <w:pPr>
        <w:widowControl/>
        <w:spacing w:line="560" w:lineRule="exact"/>
        <w:jc w:val="center"/>
        <w:rPr>
          <w:rFonts w:ascii="方正小标宋简体" w:hAnsi="宋体" w:eastAsia="方正小标宋简体"/>
          <w:color w:val="auto"/>
          <w:kern w:val="0"/>
          <w:sz w:val="44"/>
          <w:szCs w:val="44"/>
          <w:lang w:bidi="ar"/>
        </w:rPr>
      </w:pPr>
      <w:r>
        <w:rPr>
          <w:rFonts w:hint="eastAsia" w:ascii="方正小标宋简体" w:hAnsi="宋体" w:eastAsia="方正小标宋简体"/>
          <w:color w:val="auto"/>
          <w:kern w:val="0"/>
          <w:sz w:val="44"/>
          <w:szCs w:val="44"/>
          <w:lang w:bidi="ar"/>
        </w:rPr>
        <w:t>发展应用推广体系扶持计划</w:t>
      </w:r>
      <w:r>
        <w:rPr>
          <w:rFonts w:hint="eastAsia" w:ascii="方正小标宋简体" w:hAnsi="宋体" w:eastAsia="方正小标宋简体"/>
          <w:color w:val="auto"/>
          <w:kern w:val="0"/>
          <w:sz w:val="44"/>
          <w:szCs w:val="44"/>
          <w:lang w:val="en-US" w:eastAsia="zh-CN" w:bidi="ar"/>
        </w:rPr>
        <w:t>重大开源项目</w:t>
      </w:r>
      <w:r>
        <w:rPr>
          <w:rFonts w:hint="eastAsia" w:ascii="方正小标宋简体" w:hAnsi="宋体" w:eastAsia="方正小标宋简体"/>
          <w:color w:val="auto"/>
          <w:kern w:val="0"/>
          <w:sz w:val="44"/>
          <w:szCs w:val="44"/>
          <w:lang w:bidi="ar"/>
        </w:rPr>
        <w:t>芯片模组采购项目申请指南</w:t>
      </w:r>
    </w:p>
    <w:p>
      <w:pPr>
        <w:widowControl/>
        <w:spacing w:line="560" w:lineRule="exact"/>
        <w:jc w:val="center"/>
        <w:rPr>
          <w:rFonts w:ascii="方正小标宋简体" w:hAnsi="宋体" w:eastAsia="方正小标宋简体"/>
          <w:color w:val="auto"/>
          <w:kern w:val="0"/>
          <w:sz w:val="44"/>
          <w:szCs w:val="44"/>
          <w:lang w:bidi="ar"/>
        </w:rPr>
      </w:pP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一、</w:t>
      </w:r>
      <w:r>
        <w:rPr>
          <w:rFonts w:hint="eastAsia" w:ascii="黑体" w:hAnsi="黑体" w:eastAsia="黑体" w:cstheme="majorBidi"/>
          <w:b w:val="0"/>
          <w:color w:val="auto"/>
        </w:rPr>
        <w:t>资助的项目类别</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智能终端产品生产企业采购基于重大开源终端操作系统研发的相关芯片模组，开发生产相关智能终端产品并实现产业化销售的项目。智能终端产品不包含个人使用的手机、平板等智能终端产品。</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二、设定依据</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（一）《深圳市人民政府关于印发推动软件产业高质量发展的若干措施的通知》（深府规〔2022〕5号）；</w:t>
      </w:r>
    </w:p>
    <w:p>
      <w:pPr>
        <w:widowControl/>
        <w:spacing w:line="560" w:lineRule="exact"/>
        <w:ind w:firstLine="640" w:firstLineChars="200"/>
        <w:jc w:val="left"/>
        <w:rPr>
          <w:color w:val="auto"/>
        </w:rPr>
      </w:pPr>
      <w:r>
        <w:rPr>
          <w:rFonts w:hint="eastAsia" w:ascii="仿宋_GB2312" w:hAnsi="宋体" w:eastAsia="仿宋_GB2312" w:cs="宋体"/>
          <w:color w:val="auto"/>
          <w:kern w:val="0"/>
          <w:sz w:val="32"/>
          <w:szCs w:val="32"/>
          <w:lang w:bidi="ar"/>
        </w:rPr>
        <w:t>（二）《深圳市市级财政专项资金管理办法》(深府规〔2018〕12号)；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（三）市工业和信息化局关于印发《深圳市工业和信息化局软件产业高质量发展项目扶持计划操作规程》的通知（深工信规〔2023〕9号）。</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三、</w:t>
      </w:r>
      <w:r>
        <w:rPr>
          <w:rFonts w:hint="eastAsia" w:ascii="黑体" w:hAnsi="黑体" w:eastAsia="黑体" w:cstheme="majorBidi"/>
          <w:b w:val="0"/>
          <w:color w:val="auto"/>
          <w:kern w:val="2"/>
        </w:rPr>
        <w:t>资助的方式和标准以及费用范围</w:t>
      </w:r>
    </w:p>
    <w:p>
      <w:pPr>
        <w:spacing w:line="560" w:lineRule="exact"/>
        <w:ind w:firstLine="640" w:firstLineChars="20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（一）资助的方式和标准:</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智能终端产品生产企业采购基于重大开源终端操作系统研发的相关芯片模组，开发生产相关智能终端产品并实现产业化销售的项目。对符合要求的设备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按照申报指南发布前一周期年度内申报单位生产内嵌重大开源项目终端操作系统芯片模组的智能终端产品销量分级分类给予智能终端产品生产企业最高1000万元资助</w:t>
      </w:r>
      <w:r>
        <w:rPr>
          <w:rFonts w:hint="eastAsia" w:ascii="仿宋_GB2312" w:hAnsi="仿宋_GB2312" w:eastAsia="仿宋_GB2312" w:cs="仿宋_GB2312"/>
          <w:color w:val="auto"/>
          <w:sz w:val="32"/>
          <w:szCs w:val="32"/>
          <w:lang w:eastAsia="zh-CN"/>
        </w:rPr>
        <w:t>。</w:t>
      </w:r>
    </w:p>
    <w:p>
      <w:pPr>
        <w:autoSpaceDE w:val="0"/>
        <w:spacing w:line="560" w:lineRule="exact"/>
        <w:ind w:firstLine="640" w:firstLineChars="200"/>
        <w:contextualSpacing/>
        <w:outlineLvl w:val="0"/>
        <w:rPr>
          <w:rFonts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（二）资助的费用范围: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Times New Roman" w:eastAsia="仿宋_GB2312" w:cs="Calibri"/>
          <w:color w:val="auto"/>
          <w:sz w:val="32"/>
          <w:szCs w:val="32"/>
        </w:rPr>
        <w:t>项目资助费用范围是</w:t>
      </w:r>
      <w:r>
        <w:rPr>
          <w:rFonts w:hint="eastAsia" w:ascii="仿宋_GB2312" w:hAnsi="仿宋_GB2312" w:eastAsia="仿宋_GB2312" w:cs="仿宋_GB2312"/>
          <w:color w:val="auto"/>
          <w:sz w:val="32"/>
          <w:szCs w:val="32"/>
        </w:rPr>
        <w:t>使用重大开源终端操作系统芯片模组的智能终端产品资助基线为轻量设备（1MB＞参考内存≥128KB）10元/台、小型设备（128MB＞参考内存≥1MB）40元/台、标准设备（参考内存≥128MB）150元/台；本项目实施3年，第1至3年资助比例分别为资助基线的50%、40%、30%。</w:t>
      </w:r>
    </w:p>
    <w:p>
      <w:pPr>
        <w:adjustRightInd w:val="0"/>
        <w:snapToGrid w:val="0"/>
        <w:spacing w:line="560" w:lineRule="exact"/>
        <w:ind w:firstLine="640" w:firstLineChars="200"/>
        <w:outlineLvl w:val="0"/>
        <w:rPr>
          <w:rFonts w:ascii="仿宋_GB2312" w:hAnsi="仿宋_GB2312" w:eastAsia="仿宋_GB2312" w:cs="仿宋_GB2312"/>
          <w:color w:val="auto"/>
          <w:sz w:val="32"/>
          <w:szCs w:val="32"/>
        </w:rPr>
      </w:pPr>
      <w:r>
        <w:rPr>
          <w:rFonts w:hint="eastAsia" w:ascii="楷体_GB2312" w:hAnsi="楷体_GB2312" w:eastAsia="楷体_GB2312" w:cs="楷体_GB2312"/>
          <w:color w:val="auto"/>
          <w:kern w:val="0"/>
          <w:sz w:val="32"/>
          <w:szCs w:val="32"/>
        </w:rPr>
        <w:t>（实际资助的额度，受专项资金年度预算总额控制）</w:t>
      </w:r>
    </w:p>
    <w:p>
      <w:pPr>
        <w:pStyle w:val="3"/>
        <w:numPr>
          <w:ilvl w:val="255"/>
          <w:numId w:val="0"/>
        </w:numPr>
        <w:tabs>
          <w:tab w:val="left" w:pos="1418"/>
        </w:tabs>
        <w:spacing w:before="0" w:after="0" w:line="560" w:lineRule="exact"/>
        <w:ind w:left="464" w:leftChars="221"/>
        <w:rPr>
          <w:rFonts w:hint="eastAsia" w:ascii="黑体" w:hAnsi="黑体" w:eastAsia="黑体"/>
          <w:b w:val="0"/>
          <w:color w:val="auto"/>
        </w:rPr>
      </w:pPr>
      <w:r>
        <w:rPr>
          <w:rFonts w:hint="eastAsia" w:ascii="黑体" w:hAnsi="黑体" w:eastAsia="黑体"/>
          <w:b w:val="0"/>
          <w:color w:val="auto"/>
        </w:rPr>
        <w:t>四、</w:t>
      </w:r>
      <w:r>
        <w:rPr>
          <w:rFonts w:hint="eastAsia" w:ascii="黑体" w:hAnsi="黑体" w:eastAsia="黑体" w:cstheme="majorBidi"/>
          <w:b w:val="0"/>
          <w:color w:val="auto"/>
        </w:rPr>
        <w:t>项目申报条件</w:t>
      </w:r>
    </w:p>
    <w:p>
      <w:pPr>
        <w:wordWrap w:val="0"/>
        <w:autoSpaceDE w:val="0"/>
        <w:spacing w:line="560" w:lineRule="exact"/>
        <w:ind w:firstLine="640" w:firstLineChars="200"/>
        <w:contextualSpacing/>
        <w:rPr>
          <w:rFonts w:ascii="仿宋_GB2312" w:eastAsia="仿宋_GB2312"/>
          <w:color w:val="auto"/>
          <w:sz w:val="32"/>
          <w:szCs w:val="32"/>
        </w:rPr>
      </w:pPr>
      <w:r>
        <w:rPr>
          <w:rFonts w:hint="eastAsia" w:ascii="仿宋_GB2312" w:eastAsia="仿宋_GB2312"/>
          <w:color w:val="auto"/>
          <w:sz w:val="32"/>
          <w:szCs w:val="32"/>
        </w:rPr>
        <w:t>申报条件由</w:t>
      </w:r>
      <w:r>
        <w:rPr>
          <w:rFonts w:hint="eastAsia" w:ascii="仿宋_GB2312" w:eastAsia="仿宋_GB2312"/>
          <w:b/>
          <w:color w:val="auto"/>
          <w:sz w:val="32"/>
          <w:szCs w:val="32"/>
        </w:rPr>
        <w:t>基础条件</w:t>
      </w:r>
      <w:r>
        <w:rPr>
          <w:rFonts w:hint="eastAsia" w:ascii="仿宋_GB2312" w:eastAsia="仿宋_GB2312"/>
          <w:color w:val="auto"/>
          <w:sz w:val="32"/>
          <w:szCs w:val="32"/>
        </w:rPr>
        <w:t>和</w:t>
      </w:r>
      <w:r>
        <w:rPr>
          <w:rFonts w:hint="eastAsia" w:ascii="仿宋_GB2312" w:eastAsia="仿宋_GB2312"/>
          <w:b/>
          <w:color w:val="auto"/>
          <w:sz w:val="32"/>
          <w:szCs w:val="32"/>
        </w:rPr>
        <w:t>专项条件</w:t>
      </w:r>
      <w:r>
        <w:rPr>
          <w:rFonts w:hint="eastAsia" w:ascii="仿宋_GB2312" w:eastAsia="仿宋_GB2312"/>
          <w:color w:val="auto"/>
          <w:sz w:val="32"/>
          <w:szCs w:val="32"/>
        </w:rPr>
        <w:t>两部分组成</w:t>
      </w:r>
    </w:p>
    <w:p>
      <w:pPr>
        <w:autoSpaceDE w:val="0"/>
        <w:spacing w:line="560" w:lineRule="exact"/>
        <w:ind w:firstLine="643" w:firstLineChars="200"/>
        <w:outlineLvl w:val="0"/>
        <w:rPr>
          <w:rFonts w:ascii="楷体_GB2312" w:hAnsi="楷体_GB2312" w:eastAsia="楷体_GB2312" w:cs="楷体_GB2312"/>
          <w:b/>
          <w:color w:val="auto"/>
          <w:sz w:val="32"/>
          <w:szCs w:val="32"/>
        </w:rPr>
      </w:pPr>
      <w:r>
        <w:rPr>
          <w:rFonts w:hint="eastAsia" w:ascii="楷体_GB2312" w:hAnsi="楷体_GB2312" w:eastAsia="楷体_GB2312" w:cs="楷体_GB2312"/>
          <w:b/>
          <w:color w:val="auto"/>
          <w:sz w:val="32"/>
          <w:szCs w:val="32"/>
        </w:rPr>
        <w:t>基础条件：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（一）申报单位为在深圳行政区域内依法登记注册的，具有独立法人资格的企业，项目实施地在深圳；</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hint="eastAsia" w:ascii="仿宋_GB2312" w:hAnsi="宋体" w:eastAsia="仿宋_GB2312" w:cs="仿宋_GB2312"/>
          <w:color w:val="auto"/>
          <w:kern w:val="0"/>
          <w:sz w:val="32"/>
          <w:szCs w:val="32"/>
          <w:lang w:val="en-US" w:eastAsia="zh-CN" w:bidi="ar"/>
        </w:rPr>
      </w:pPr>
      <w:r>
        <w:rPr>
          <w:rStyle w:val="11"/>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auto"/>
          <w:sz w:val="32"/>
          <w:szCs w:val="32"/>
          <w:highlight w:val="none"/>
        </w:rPr>
        <w:t>申报单位</w:t>
      </w:r>
      <w:r>
        <w:rPr>
          <w:rStyle w:val="11"/>
          <w:rFonts w:hint="eastAsia" w:ascii="仿宋_GB2312" w:hAnsi="宋体" w:eastAsia="仿宋_GB2312" w:cs="仿宋_GB2312"/>
          <w:color w:val="auto"/>
          <w:kern w:val="0"/>
          <w:sz w:val="32"/>
          <w:szCs w:val="32"/>
          <w:highlight w:val="none"/>
          <w:lang w:bidi="ar"/>
        </w:rPr>
        <w:t>未被列入严重失信主体名单</w:t>
      </w:r>
      <w:r>
        <w:rPr>
          <w:rFonts w:hint="eastAsia" w:ascii="仿宋_GB2312" w:hAnsi="仿宋_GB2312" w:eastAsia="仿宋_GB2312" w:cs="仿宋_GB2312"/>
          <w:color w:val="auto"/>
          <w:sz w:val="32"/>
          <w:szCs w:val="32"/>
          <w:highlight w:val="none"/>
        </w:rPr>
        <w:t>；</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三</w:t>
      </w:r>
      <w:r>
        <w:rPr>
          <w:rStyle w:val="11"/>
          <w:rFonts w:hint="eastAsia" w:ascii="仿宋_GB2312" w:hAnsi="宋体" w:eastAsia="仿宋_GB2312" w:cs="仿宋_GB2312"/>
          <w:color w:val="auto"/>
          <w:kern w:val="0"/>
          <w:sz w:val="32"/>
          <w:szCs w:val="32"/>
          <w:lang w:bidi="ar"/>
        </w:rPr>
        <w:t>）申报单位提交的营业收入等经营指标数据，与报送市统计部门的数据一致或在允许的误差范围内；</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四</w:t>
      </w:r>
      <w:r>
        <w:rPr>
          <w:rStyle w:val="11"/>
          <w:rFonts w:hint="eastAsia" w:ascii="仿宋_GB2312" w:hAnsi="宋体" w:eastAsia="仿宋_GB2312" w:cs="仿宋_GB2312"/>
          <w:color w:val="auto"/>
          <w:kern w:val="0"/>
          <w:sz w:val="32"/>
          <w:szCs w:val="32"/>
          <w:lang w:bidi="ar"/>
        </w:rPr>
        <w:t>）不存在就同一建设内容相同或部分内容相同的项目向市有关部门进行多头申报的情形；</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五</w:t>
      </w:r>
      <w:r>
        <w:rPr>
          <w:rStyle w:val="11"/>
          <w:rFonts w:hint="eastAsia" w:ascii="仿宋_GB2312" w:hAnsi="宋体" w:eastAsia="仿宋_GB2312" w:cs="仿宋_GB2312"/>
          <w:color w:val="auto"/>
          <w:kern w:val="0"/>
          <w:sz w:val="32"/>
          <w:szCs w:val="32"/>
          <w:lang w:bidi="ar"/>
        </w:rPr>
        <w:t>）资助项目不属于政府投资建设或购买服务的项目；</w:t>
      </w:r>
    </w:p>
    <w:p>
      <w:pPr>
        <w:pStyle w:val="21"/>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1"/>
          <w:rFonts w:ascii="仿宋_GB2312" w:hAnsi="宋体" w:eastAsia="仿宋_GB2312" w:cs="仿宋_GB2312"/>
          <w:color w:val="auto"/>
          <w:kern w:val="0"/>
          <w:sz w:val="32"/>
          <w:szCs w:val="32"/>
          <w:lang w:bidi="ar"/>
        </w:rPr>
      </w:pPr>
      <w:r>
        <w:rPr>
          <w:rStyle w:val="11"/>
          <w:rFonts w:hint="eastAsia" w:ascii="仿宋_GB2312" w:hAnsi="宋体" w:eastAsia="仿宋_GB2312" w:cs="仿宋_GB2312"/>
          <w:color w:val="auto"/>
          <w:kern w:val="0"/>
          <w:sz w:val="32"/>
          <w:szCs w:val="32"/>
          <w:lang w:bidi="ar"/>
        </w:rPr>
        <w:t>（</w:t>
      </w:r>
      <w:r>
        <w:rPr>
          <w:rStyle w:val="11"/>
          <w:rFonts w:hint="eastAsia" w:ascii="仿宋_GB2312" w:hAnsi="宋体" w:eastAsia="仿宋_GB2312" w:cs="仿宋_GB2312"/>
          <w:color w:val="auto"/>
          <w:kern w:val="0"/>
          <w:sz w:val="32"/>
          <w:szCs w:val="32"/>
          <w:lang w:val="en-US" w:eastAsia="zh-CN" w:bidi="ar"/>
        </w:rPr>
        <w:t>六</w:t>
      </w:r>
      <w:r>
        <w:rPr>
          <w:rStyle w:val="11"/>
          <w:rFonts w:hint="eastAsia" w:ascii="仿宋_GB2312" w:hAnsi="宋体" w:eastAsia="仿宋_GB2312" w:cs="仿宋_GB2312"/>
          <w:color w:val="auto"/>
          <w:kern w:val="0"/>
          <w:sz w:val="32"/>
          <w:szCs w:val="32"/>
          <w:lang w:bidi="ar"/>
        </w:rPr>
        <w:t>）法律、法规、规章和上级行政机关规范性文件规定的其他条件。</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专项条件：</w:t>
      </w:r>
    </w:p>
    <w:p>
      <w:pPr>
        <w:pStyle w:val="2"/>
        <w:spacing w:line="560" w:lineRule="exact"/>
        <w:ind w:firstLine="640"/>
        <w:rPr>
          <w:color w:val="auto"/>
        </w:rPr>
      </w:pPr>
      <w:r>
        <w:rPr>
          <w:rFonts w:hint="eastAsia" w:ascii="仿宋_GB2312" w:hAnsi="仿宋_GB2312" w:cs="仿宋_GB2312"/>
          <w:color w:val="auto"/>
          <w:szCs w:val="32"/>
        </w:rPr>
        <w:t>（一）重大开源项目是指深圳企业及其子公司捐赠的、开放原子开源基金会名单内的开源项目，开源项目为开源终端操作系统的需应用规模超过3亿台；开源项目为开源服务器操作系统的，开源项目捐赠企业在Linux Kernel社区近一年各内核版本中均进入修改集合排行榜；其他的重大开源项目，需经市政府审议批准。</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cs="仿宋_GB2312"/>
          <w:color w:val="auto"/>
          <w:sz w:val="32"/>
          <w:szCs w:val="32"/>
        </w:rPr>
        <w:t>（二）</w:t>
      </w:r>
      <w:bookmarkStart w:id="0" w:name="_Hlk144909073"/>
      <w:r>
        <w:rPr>
          <w:rFonts w:hint="eastAsia" w:ascii="仿宋_GB2312" w:hAnsi="仿宋_GB2312" w:eastAsia="仿宋_GB2312" w:cs="仿宋_GB2312"/>
          <w:color w:val="auto"/>
          <w:sz w:val="32"/>
          <w:szCs w:val="32"/>
        </w:rPr>
        <w:t>申报单位为研发生产智能终端产品购买的芯片模组需为基于重大开源项目终端操作系统开发的芯片模组；</w:t>
      </w:r>
    </w:p>
    <w:bookmarkEnd w:id="0"/>
    <w:p>
      <w:pPr>
        <w:spacing w:line="560" w:lineRule="exact"/>
        <w:ind w:firstLine="640" w:firstLineChars="200"/>
        <w:outlineLvl w:val="0"/>
        <w:rPr>
          <w:rFonts w:ascii="仿宋_GB2312" w:hAnsi="仿宋_GB2312" w:eastAsia="仿宋_GB2312" w:cs="仿宋_GB2312"/>
          <w:color w:val="auto"/>
          <w:sz w:val="32"/>
          <w:szCs w:val="32"/>
        </w:rPr>
      </w:pPr>
      <w:bookmarkStart w:id="1" w:name="_Hlk144909097"/>
      <w:r>
        <w:rPr>
          <w:rFonts w:hint="eastAsia" w:ascii="仿宋_GB2312" w:hAnsi="仿宋_GB2312" w:eastAsia="仿宋_GB2312" w:cs="仿宋_GB2312"/>
          <w:color w:val="auto"/>
          <w:sz w:val="32"/>
          <w:szCs w:val="32"/>
        </w:rPr>
        <w:t>（三）申报单位基于重大开源项目终端操作系统芯片模组研发生产的智能终端产品已获得重大开源项目终端操作系统开源社区的认证；</w:t>
      </w:r>
      <w:bookmarkEnd w:id="1"/>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w:t>
      </w:r>
      <w:bookmarkStart w:id="2" w:name="_Hlk144909116"/>
      <w:r>
        <w:rPr>
          <w:rFonts w:hint="eastAsia" w:ascii="仿宋_GB2312" w:hAnsi="仿宋_GB2312" w:eastAsia="仿宋_GB2312" w:cs="仿宋_GB2312"/>
          <w:color w:val="auto"/>
          <w:sz w:val="32"/>
          <w:szCs w:val="32"/>
        </w:rPr>
        <w:t>申报单位在申报指南发布前一周期年度内基于重大开源项目终端操作系统芯片模组开发生产的智能终端产品已实现销售，以及相应重大开源项目终端操作系统芯片模组采购金额（按总采购量×资助基线计算）不低于100万元。</w:t>
      </w:r>
      <w:bookmarkEnd w:id="2"/>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五、</w:t>
      </w:r>
      <w:r>
        <w:rPr>
          <w:rFonts w:hint="eastAsia" w:ascii="黑体" w:hAnsi="黑体" w:eastAsia="黑体"/>
          <w:b w:val="0"/>
          <w:color w:val="auto"/>
          <w:kern w:val="0"/>
        </w:rPr>
        <w:t>项目的申报材料</w:t>
      </w:r>
    </w:p>
    <w:p>
      <w:pPr>
        <w:widowControl/>
        <w:adjustRightInd/>
        <w:snapToGrid/>
        <w:spacing w:beforeLines="0" w:afterLines="0" w:line="560" w:lineRule="exact"/>
        <w:ind w:firstLine="640" w:firstLineChars="200"/>
        <w:jc w:val="both"/>
        <w:outlineLvl w:val="0"/>
        <w:rPr>
          <w:rFonts w:ascii="仿宋_GB2312" w:hAnsi="宋体" w:eastAsia="仿宋_GB2312"/>
          <w:b/>
          <w:bCs/>
          <w:color w:val="auto"/>
          <w:kern w:val="0"/>
          <w:sz w:val="32"/>
          <w:szCs w:val="32"/>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adjustRightInd w:val="0"/>
        <w:snapToGrid w:val="0"/>
        <w:spacing w:line="560" w:lineRule="exact"/>
        <w:ind w:firstLine="643" w:firstLineChars="200"/>
        <w:rPr>
          <w:rFonts w:ascii="仿宋_GB2312" w:hAnsi="仿宋_GB2312" w:eastAsia="仿宋_GB2312" w:cs="仿宋_GB2312"/>
          <w:color w:val="auto"/>
          <w:sz w:val="32"/>
          <w:szCs w:val="32"/>
        </w:rPr>
      </w:pPr>
      <w:r>
        <w:rPr>
          <w:rFonts w:hint="eastAsia" w:ascii="仿宋_GB2312" w:hAnsi="宋体" w:eastAsia="仿宋_GB2312"/>
          <w:b/>
          <w:color w:val="auto"/>
          <w:sz w:val="32"/>
          <w:szCs w:val="32"/>
        </w:rPr>
        <w:t>共性</w:t>
      </w:r>
      <w:r>
        <w:rPr>
          <w:rFonts w:hint="eastAsia" w:ascii="楷体_GB2312" w:hAnsi="楷体_GB2312" w:eastAsia="楷体_GB2312" w:cs="楷体_GB2312"/>
          <w:b/>
          <w:bCs/>
          <w:color w:val="auto"/>
          <w:kern w:val="0"/>
          <w:sz w:val="32"/>
          <w:szCs w:val="32"/>
        </w:rPr>
        <w:t>申报材料：</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（一）项目申请书原件（申报系统在线填报，预审通过后打印）；</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（二）申报单位营业执照（已关联电子证照，免提交）；</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（三）税务部门提供的单位上年度（202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年度）完税证明复印件；</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（四）经会计师事务所审计的202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年度财务审计报告或由企业法定代表人签字的单位财务决算报表（复印件）；</w:t>
      </w:r>
    </w:p>
    <w:p>
      <w:pPr>
        <w:spacing w:line="560" w:lineRule="exact"/>
        <w:ind w:firstLine="640" w:firstLineChars="200"/>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（五）深圳信用网（http://www.szcredit.org.cn）查询下载的信用报告；</w:t>
      </w:r>
    </w:p>
    <w:p>
      <w:pPr>
        <w:spacing w:line="560" w:lineRule="exact"/>
        <w:ind w:firstLine="643" w:firstLineChars="200"/>
        <w:outlineLvl w:val="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专项申报材料：</w:t>
      </w:r>
    </w:p>
    <w:p>
      <w:pPr>
        <w:pStyle w:val="2"/>
        <w:spacing w:line="560" w:lineRule="exact"/>
        <w:ind w:firstLine="640"/>
        <w:rPr>
          <w:color w:val="auto"/>
        </w:rPr>
      </w:pPr>
      <w:r>
        <w:rPr>
          <w:rFonts w:hint="eastAsia" w:ascii="仿宋_GB2312" w:hAnsi="仿宋_GB2312" w:cs="仿宋_GB2312"/>
          <w:color w:val="auto"/>
          <w:szCs w:val="32"/>
        </w:rPr>
        <w:t>（一）申报项目属于重大开源项目相关证明材料。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1.提供开源项目属于深圳企业及其子公司捐赠的开放原子开源基金会名单内项目的佐证材料；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2.开源项目为开源终端操作系统的，提供应用规模超过3亿台的佐证材料；</w:t>
      </w:r>
    </w:p>
    <w:p>
      <w:pPr>
        <w:pStyle w:val="2"/>
        <w:spacing w:after="0" w:line="560" w:lineRule="exact"/>
        <w:ind w:firstLine="640"/>
        <w:outlineLvl w:val="0"/>
        <w:rPr>
          <w:color w:val="auto"/>
        </w:rPr>
      </w:pPr>
      <w:r>
        <w:rPr>
          <w:rFonts w:hint="eastAsia" w:ascii="仿宋_GB2312" w:hAnsi="仿宋_GB2312" w:cs="仿宋_GB2312"/>
          <w:color w:val="auto"/>
          <w:szCs w:val="32"/>
        </w:rPr>
        <w:t>（二）申报项目相关证明材料。</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1.提供申报单位为研发生产智能终端产品购买的芯片模组为基于重大开源项目终端操作系统开发的芯片模组的佐证材料；佐证材料可为通过开源社区认证的商用设备的芯片型号。</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2.提供申报单位生产的智能终端产品获得重大开源项目终端操作系统开源社区的认证材料复印件；</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提供申报单位采购重大开源项目芯片模组金额（按总采购量×资助基线计算）合计不低于100万元的合同复印件（验原件）、银行付款凭证、银行流水凭证（如合同为外文的，须翻译成中文）。如芯片模组自产则需提供相应的佐证材料。</w:t>
      </w:r>
    </w:p>
    <w:p>
      <w:pPr>
        <w:pStyle w:val="21"/>
        <w:spacing w:line="560" w:lineRule="exact"/>
        <w:ind w:firstLine="640" w:firstLineChars="200"/>
        <w:rPr>
          <w:color w:val="auto"/>
        </w:rPr>
      </w:pPr>
      <w:r>
        <w:rPr>
          <w:rFonts w:hint="eastAsia" w:ascii="仿宋_GB2312" w:hAnsi="仿宋_GB2312" w:eastAsia="仿宋_GB2312" w:cs="仿宋_GB2312"/>
          <w:color w:val="auto"/>
          <w:kern w:val="0"/>
          <w:sz w:val="32"/>
          <w:szCs w:val="32"/>
          <w:lang w:bidi="ar"/>
        </w:rPr>
        <w:t>4.提供申报单位生产的智能终端产品已实现销售及销售数量及产品设备类型（轻量设备、小型设备、标准设备）信息的佐证材料复印件，包含</w:t>
      </w:r>
      <w:r>
        <w:rPr>
          <w:rFonts w:hint="eastAsia" w:ascii="仿宋_GB2312" w:hAnsi="宋体" w:eastAsia="仿宋_GB2312"/>
          <w:color w:val="auto"/>
          <w:kern w:val="0"/>
          <w:sz w:val="32"/>
          <w:szCs w:val="32"/>
        </w:rPr>
        <w:t>销售合同复印件（验原件）、货款到账凭证、银行流水凭证和销售发票复印件（</w:t>
      </w:r>
      <w:r>
        <w:rPr>
          <w:rFonts w:hint="eastAsia" w:ascii="仿宋_GB2312" w:hAnsi="仿宋_GB2312" w:eastAsia="仿宋_GB2312" w:cs="仿宋_GB2312"/>
          <w:color w:val="auto"/>
          <w:sz w:val="32"/>
          <w:szCs w:val="32"/>
        </w:rPr>
        <w:t>如合同为外文的，须翻译成中文）</w:t>
      </w:r>
      <w:r>
        <w:rPr>
          <w:rFonts w:hint="eastAsia" w:ascii="仿宋_GB2312" w:hAnsi="仿宋_GB2312" w:eastAsia="仿宋_GB2312" w:cs="仿宋_GB2312"/>
          <w:color w:val="auto"/>
          <w:kern w:val="0"/>
          <w:sz w:val="32"/>
          <w:szCs w:val="32"/>
          <w:lang w:bidi="ar"/>
        </w:rPr>
        <w:t>。</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 w:hAnsi="仿宋" w:eastAsia="仿宋" w:cs="仿宋_GB2312"/>
          <w:color w:val="auto"/>
          <w:sz w:val="32"/>
          <w:szCs w:val="32"/>
        </w:rPr>
        <w:t>项目的</w:t>
      </w:r>
      <w:r>
        <w:rPr>
          <w:rFonts w:hint="eastAsia" w:ascii="仿宋" w:hAnsi="仿宋" w:eastAsia="仿宋" w:cs="微软雅黑"/>
          <w:color w:val="auto"/>
          <w:sz w:val="32"/>
          <w:szCs w:val="32"/>
        </w:rPr>
        <w:t>创新性、</w:t>
      </w:r>
      <w:r>
        <w:rPr>
          <w:rFonts w:hint="eastAsia" w:ascii="仿宋" w:hAnsi="仿宋" w:eastAsia="仿宋" w:cs="仿宋_GB2312"/>
          <w:color w:val="auto"/>
          <w:sz w:val="32"/>
          <w:szCs w:val="32"/>
        </w:rPr>
        <w:t>可推广性及示范性报告；</w:t>
      </w:r>
      <w:r>
        <w:rPr>
          <w:rFonts w:hint="eastAsia" w:ascii="仿宋_GB2312" w:hAnsi="仿宋_GB2312" w:eastAsia="仿宋_GB2312" w:cs="仿宋_GB2312"/>
          <w:color w:val="auto"/>
          <w:sz w:val="32"/>
          <w:szCs w:val="32"/>
        </w:rPr>
        <w:t>提供兼容性测试报告、销售合同要包含设备信息（包括但不限于软件版本号、芯片型号等）。</w:t>
      </w:r>
    </w:p>
    <w:p>
      <w:pPr>
        <w:spacing w:line="560" w:lineRule="exact"/>
        <w:ind w:firstLine="640" w:firstLineChars="200"/>
        <w:rPr>
          <w:rFonts w:ascii="仿宋_GB2312" w:hAnsi="宋体"/>
          <w:color w:val="auto"/>
          <w:kern w:val="0"/>
          <w:szCs w:val="32"/>
        </w:rPr>
      </w:pPr>
      <w:r>
        <w:rPr>
          <w:rFonts w:hint="eastAsia" w:ascii="仿宋_GB2312" w:hAnsi="宋体" w:eastAsia="仿宋_GB2312"/>
          <w:color w:val="auto"/>
          <w:kern w:val="0"/>
          <w:sz w:val="32"/>
          <w:szCs w:val="32"/>
          <w:lang w:val="en-US" w:eastAsia="zh-CN"/>
        </w:rPr>
        <w:t>6</w:t>
      </w:r>
      <w:r>
        <w:rPr>
          <w:rFonts w:hint="eastAsia" w:ascii="仿宋_GB2312" w:hAnsi="宋体" w:eastAsia="仿宋_GB2312"/>
          <w:color w:val="auto"/>
          <w:kern w:val="0"/>
          <w:sz w:val="32"/>
          <w:szCs w:val="32"/>
        </w:rPr>
        <w:t>.</w:t>
      </w:r>
      <w:r>
        <w:rPr>
          <w:rFonts w:hint="eastAsia" w:ascii="仿宋_GB2312" w:hAnsi="宋体" w:eastAsia="仿宋_GB2312" w:cs="仿宋_GB2312"/>
          <w:color w:val="auto"/>
          <w:kern w:val="0"/>
          <w:sz w:val="32"/>
          <w:szCs w:val="32"/>
        </w:rPr>
        <w:t>项目评审关注的其他材料：项目所需的人员、设施等主要条件保障的资料（如项目组成员学历、专业、职务、承担工作及工作量、社保缴纳证明等）；项目单位拥有的资质认定、荣誉等情况及佐证材料复印件（国家级、省部级及市级有关证书复印件）；项目单位承担国家、省市重点建设项目情况</w:t>
      </w:r>
      <w:r>
        <w:rPr>
          <w:rFonts w:hint="eastAsia" w:ascii="仿宋_GB2312" w:hAnsi="宋体" w:eastAsia="仿宋_GB2312"/>
          <w:color w:val="auto"/>
          <w:kern w:val="0"/>
          <w:sz w:val="32"/>
          <w:szCs w:val="32"/>
        </w:rPr>
        <w:t>。</w:t>
      </w:r>
    </w:p>
    <w:p>
      <w:pPr>
        <w:autoSpaceDE w:val="0"/>
        <w:spacing w:line="560" w:lineRule="exact"/>
        <w:ind w:firstLine="643" w:firstLineChars="200"/>
        <w:rPr>
          <w:rFonts w:ascii="Times New Roman" w:hAnsi="Times New Roman" w:eastAsia="仿宋_GB2312"/>
          <w:color w:val="auto"/>
        </w:rPr>
      </w:pPr>
      <w:r>
        <w:rPr>
          <w:rFonts w:hint="eastAsia" w:ascii="仿宋_GB2312" w:hAnsi="仿宋_GB2312" w:eastAsia="仿宋_GB2312" w:cs="仿宋_GB2312"/>
          <w:b/>
          <w:bCs/>
          <w:color w:val="auto"/>
          <w:sz w:val="32"/>
          <w:szCs w:val="32"/>
        </w:rPr>
        <w:t>以上材料均需加盖申报单位公章，多页的还需加盖骑缝印章；一式一份，</w:t>
      </w:r>
      <w:r>
        <w:rPr>
          <w:rFonts w:ascii="仿宋_GB2312" w:hAnsi="仿宋_GB2312" w:eastAsia="仿宋_GB2312" w:cs="仿宋_GB2312"/>
          <w:b/>
          <w:bCs/>
          <w:color w:val="auto"/>
          <w:sz w:val="32"/>
          <w:szCs w:val="32"/>
        </w:rPr>
        <w:t>A4</w:t>
      </w:r>
      <w:r>
        <w:rPr>
          <w:rFonts w:hint="eastAsia" w:ascii="仿宋_GB2312" w:hAnsi="仿宋_GB2312" w:eastAsia="仿宋_GB2312" w:cs="仿宋_GB2312"/>
          <w:b/>
          <w:bCs/>
          <w:color w:val="auto"/>
          <w:sz w:val="32"/>
          <w:szCs w:val="32"/>
        </w:rPr>
        <w:t>纸（特殊规定的除外）正反面打印</w:t>
      </w:r>
      <w:r>
        <w:rPr>
          <w:rFonts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rPr>
        <w:t>复印，非空白页（含封面）需连续编写页码，装订成册（胶装）。</w:t>
      </w:r>
    </w:p>
    <w:p>
      <w:pPr>
        <w:pStyle w:val="3"/>
        <w:numPr>
          <w:ilvl w:val="255"/>
          <w:numId w:val="0"/>
        </w:numPr>
        <w:tabs>
          <w:tab w:val="left" w:pos="1418"/>
        </w:tabs>
        <w:spacing w:before="0" w:after="0" w:line="560" w:lineRule="exact"/>
        <w:ind w:left="0" w:leftChars="0" w:firstLine="640" w:firstLineChars="200"/>
        <w:rPr>
          <w:rFonts w:ascii="黑体" w:hAnsi="黑体" w:eastAsia="黑体"/>
          <w:b w:val="0"/>
          <w:color w:val="auto"/>
        </w:rPr>
      </w:pPr>
      <w:r>
        <w:rPr>
          <w:rFonts w:hint="eastAsia" w:ascii="黑体" w:hAnsi="黑体" w:eastAsia="黑体"/>
          <w:b w:val="0"/>
          <w:color w:val="auto"/>
        </w:rPr>
        <w:t>六、</w:t>
      </w:r>
      <w:r>
        <w:rPr>
          <w:rFonts w:hint="eastAsia" w:ascii="黑体" w:hAnsi="黑体" w:eastAsia="黑体" w:cs="仿宋_GB2312"/>
          <w:b w:val="0"/>
          <w:color w:val="auto"/>
        </w:rPr>
        <w:t>项目的申报登录路径</w:t>
      </w:r>
    </w:p>
    <w:p>
      <w:pPr>
        <w:spacing w:line="560" w:lineRule="exact"/>
        <w:ind w:firstLine="640" w:firstLineChars="200"/>
        <w:outlineLvl w:val="0"/>
        <w:rPr>
          <w:rFonts w:hint="eastAsia" w:ascii="仿宋_GB2312" w:hAnsi="宋体" w:eastAsia="仿宋_GB2312"/>
          <w:color w:val="auto"/>
          <w:sz w:val="32"/>
          <w:szCs w:val="32"/>
          <w:lang w:bidi="ar"/>
        </w:rPr>
      </w:pPr>
      <w:r>
        <w:rPr>
          <w:rFonts w:hint="eastAsia" w:ascii="仿宋_GB2312" w:hAnsi="宋体" w:eastAsia="仿宋_GB2312"/>
          <w:color w:val="auto"/>
          <w:sz w:val="32"/>
          <w:szCs w:val="32"/>
        </w:rPr>
        <w:t>登录广东政务服务网——深圳市——</w:t>
      </w:r>
      <w:r>
        <w:rPr>
          <w:rFonts w:hint="eastAsia" w:ascii="仿宋_GB2312" w:hAnsi="宋体" w:eastAsia="仿宋_GB2312"/>
          <w:color w:val="auto"/>
          <w:sz w:val="32"/>
          <w:szCs w:val="32"/>
          <w:lang w:eastAsia="zh-CN"/>
        </w:rPr>
        <w:t>深圳</w:t>
      </w:r>
      <w:r>
        <w:rPr>
          <w:rFonts w:hint="eastAsia" w:ascii="仿宋_GB2312" w:hAnsi="宋体" w:eastAsia="仿宋_GB2312"/>
          <w:color w:val="auto"/>
          <w:sz w:val="32"/>
          <w:szCs w:val="32"/>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kern w:val="2"/>
          <w:sz w:val="32"/>
          <w:szCs w:val="32"/>
          <w:lang w:bidi="ar"/>
        </w:rPr>
        <w:t>应用推广体系扶持计划</w:t>
      </w:r>
      <w:r>
        <w:rPr>
          <w:rFonts w:hint="eastAsia" w:ascii="仿宋_GB2312" w:hAnsi="宋体" w:eastAsia="仿宋_GB2312" w:cs="Times New Roman"/>
          <w:color w:val="auto"/>
          <w:sz w:val="32"/>
          <w:szCs w:val="32"/>
          <w:highlight w:val="none"/>
        </w:rPr>
        <w:t>”——</w:t>
      </w:r>
      <w:r>
        <w:rPr>
          <w:rFonts w:hint="eastAsia" w:ascii="仿宋_GB2312" w:hAnsi="宋体" w:eastAsia="仿宋_GB2312" w:cs="Times New Roman"/>
          <w:color w:val="auto"/>
          <w:sz w:val="32"/>
          <w:szCs w:val="32"/>
          <w:highlight w:val="none"/>
          <w:lang w:eastAsia="zh-CN"/>
        </w:rPr>
        <w:t>选择</w:t>
      </w:r>
      <w:r>
        <w:rPr>
          <w:rFonts w:hint="eastAsia" w:ascii="仿宋_GB2312" w:hAnsi="宋体" w:eastAsia="仿宋_GB2312"/>
          <w:color w:val="auto"/>
          <w:sz w:val="32"/>
          <w:szCs w:val="32"/>
        </w:rPr>
        <w:t>“</w:t>
      </w:r>
      <w:r>
        <w:rPr>
          <w:rFonts w:hint="eastAsia" w:ascii="仿宋_GB2312" w:hAnsi="宋体" w:eastAsia="仿宋_GB2312"/>
          <w:color w:val="auto"/>
          <w:kern w:val="2"/>
          <w:sz w:val="32"/>
          <w:szCs w:val="32"/>
          <w:lang w:bidi="ar"/>
        </w:rPr>
        <w:t>重大开源项目终端操作系统芯片模组采购项目</w:t>
      </w:r>
      <w:r>
        <w:rPr>
          <w:rFonts w:hint="eastAsia" w:ascii="仿宋_GB2312" w:hAnsi="宋体" w:eastAsia="仿宋_GB2312"/>
          <w:color w:val="auto"/>
          <w:sz w:val="32"/>
          <w:szCs w:val="32"/>
          <w:lang w:bidi="ar"/>
        </w:rPr>
        <w:t>”事项办理申请。</w:t>
      </w:r>
    </w:p>
    <w:p>
      <w:pPr>
        <w:pStyle w:val="3"/>
        <w:numPr>
          <w:ilvl w:val="255"/>
          <w:numId w:val="0"/>
        </w:numPr>
        <w:tabs>
          <w:tab w:val="left" w:pos="1418"/>
        </w:tabs>
        <w:spacing w:before="0" w:after="0" w:line="560" w:lineRule="exact"/>
        <w:ind w:left="0" w:leftChars="0" w:firstLine="640" w:firstLineChars="200"/>
        <w:rPr>
          <w:rFonts w:ascii="黑体" w:hAnsi="黑体" w:eastAsia="黑体"/>
          <w:b w:val="0"/>
          <w:color w:val="auto"/>
        </w:rPr>
      </w:pPr>
      <w:r>
        <w:rPr>
          <w:rFonts w:hint="eastAsia" w:ascii="黑体" w:hAnsi="黑体" w:eastAsia="黑体"/>
          <w:b w:val="0"/>
          <w:color w:val="auto"/>
        </w:rPr>
        <w:t>七、项目申请受理机关与时间</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Theme="minorEastAsia" w:hAnsiTheme="minorEastAsia" w:eastAsiaTheme="minorEastAsia"/>
          <w:color w:val="auto"/>
          <w:sz w:val="32"/>
          <w:szCs w:val="32"/>
        </w:rPr>
        <w:t>（</w:t>
      </w:r>
      <w:r>
        <w:rPr>
          <w:rFonts w:hint="eastAsia" w:ascii="仿宋_GB2312" w:hAnsi="仿宋_GB2312" w:eastAsia="仿宋_GB2312" w:cs="仿宋_GB2312"/>
          <w:color w:val="auto"/>
          <w:sz w:val="32"/>
          <w:szCs w:val="32"/>
        </w:rPr>
        <w:t>一）受理机关：深圳市工业和信息化局。</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日18时，在线提交项目申请书及配套申报材料，并经过材料齐全性和内容合规性的形式预审。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递交纸质申请材料。项目申请书需在线打印，其格式和内容可参照附表</w:t>
      </w:r>
      <w:r>
        <w:rPr>
          <w:rFonts w:hint="eastAsia" w:eastAsia="仿宋_GB2312" w:cs="Times New Roman"/>
          <w:color w:val="auto"/>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30</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hint="eastAsia" w:hAnsi="宋体" w:eastAsia="仿宋_GB2312" w:cs="Times New Roman"/>
          <w:color w:val="auto"/>
          <w:sz w:val="32"/>
          <w:szCs w:val="32"/>
        </w:rPr>
      </w:pPr>
      <w:r>
        <w:rPr>
          <w:rFonts w:hint="eastAsia" w:ascii="仿宋_GB2312" w:hAnsi="宋体" w:eastAsia="仿宋_GB2312" w:cs="Times New Roman"/>
          <w:color w:val="auto"/>
          <w:sz w:val="32"/>
          <w:szCs w:val="32"/>
        </w:rPr>
        <w:t>（注：网上预审通过后</w:t>
      </w:r>
      <w:r>
        <w:rPr>
          <w:rFonts w:hint="eastAsia" w:ascii="仿宋_GB2312" w:hAnsi="宋体" w:eastAsia="仿宋_GB2312" w:cs="Times New Roman"/>
          <w:color w:val="auto"/>
          <w:sz w:val="32"/>
          <w:szCs w:val="32"/>
          <w:lang w:val="en-US" w:eastAsia="zh-CN"/>
        </w:rPr>
        <w:t>(申报状态：已预审）</w:t>
      </w:r>
      <w:r>
        <w:rPr>
          <w:rFonts w:hint="eastAsia" w:ascii="仿宋_GB2312" w:hAnsi="宋体" w:eastAsia="仿宋_GB2312" w:cs="Times New Roman"/>
          <w:color w:val="auto"/>
          <w:sz w:val="32"/>
          <w:szCs w:val="32"/>
        </w:rPr>
        <w:t>请及时预约到</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窗口递交纸质材料，递交了纸质材料的项目才算申报成功</w:t>
      </w:r>
      <w:r>
        <w:rPr>
          <w:rFonts w:hint="eastAsia" w:ascii="仿宋_GB2312" w:eastAsia="仿宋_GB2312" w:cs="Times New Roman"/>
          <w:color w:val="auto"/>
          <w:sz w:val="32"/>
          <w:szCs w:val="32"/>
        </w:rPr>
        <w:t>）；</w:t>
      </w:r>
    </w:p>
    <w:p>
      <w:pPr>
        <w:spacing w:line="560" w:lineRule="exact"/>
        <w:ind w:firstLine="640"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bookmarkStart w:id="3" w:name="_GoBack"/>
      <w:bookmarkEnd w:id="3"/>
      <w:r>
        <w:rPr>
          <w:rFonts w:hint="eastAsia" w:ascii="仿宋_GB2312" w:hAnsi="仿宋_GB2312" w:eastAsia="仿宋_GB2312" w:cs="仿宋_GB2312"/>
          <w:color w:val="auto"/>
          <w:sz w:val="32"/>
          <w:szCs w:val="32"/>
          <w:lang w:val="en-US" w:eastAsia="zh-CN"/>
        </w:rPr>
        <w:t>开源产业政策宣讲及生态服务咨询电话：鸿蒙生态创新中心  0755-86539888。</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技术支持电话：0755-88101882、88127057。</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（三）受理地点：深圳市福田区福中三路市民中心B区市行政服务大厅西厅5-43综合窗口。</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八、申请核准机关</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深圳市工业和信息化局。</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九、核准流程</w:t>
      </w:r>
    </w:p>
    <w:p>
      <w:pPr>
        <w:adjustRightInd w:val="0"/>
        <w:snapToGrid w:val="0"/>
        <w:spacing w:beforeLines="0" w:afterLines="0"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auto"/>
          <w:sz w:val="32"/>
          <w:szCs w:val="32"/>
          <w:highlight w:val="none"/>
        </w:rPr>
        <w:t>——材料初审——专家评审、专项审计、现场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rPr>
        <w:t>（抽查）、查重等环节——拟定扶持计划--社会公示--下达项目扶持计划--申报单位提交拨付资金资料--市工业和信息化局拨付资金。</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w:t>
      </w:r>
      <w:r>
        <w:rPr>
          <w:rFonts w:hint="eastAsia" w:ascii="黑体" w:hAnsi="黑体" w:eastAsia="黑体"/>
          <w:b w:val="0"/>
          <w:color w:val="auto"/>
          <w:lang w:val="en-US" w:eastAsia="zh-CN"/>
        </w:rPr>
        <w:t>核准</w:t>
      </w:r>
      <w:r>
        <w:rPr>
          <w:rFonts w:hint="eastAsia" w:ascii="黑体" w:hAnsi="黑体" w:eastAsia="黑体"/>
          <w:b w:val="0"/>
          <w:color w:val="auto"/>
        </w:rPr>
        <w:t>时限</w:t>
      </w:r>
    </w:p>
    <w:p>
      <w:pPr>
        <w:spacing w:line="560" w:lineRule="exact"/>
        <w:ind w:firstLine="640" w:firstLineChars="200"/>
        <w:outlineLvl w:val="0"/>
        <w:rPr>
          <w:rFonts w:hint="eastAsia" w:ascii="仿宋_GB2312" w:eastAsia="仿宋_GB2312" w:cs="Times New Roman"/>
          <w:bCs/>
          <w:color w:val="auto"/>
          <w:sz w:val="32"/>
          <w:szCs w:val="32"/>
          <w:lang w:val="en-US" w:eastAsia="zh-CN"/>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 xml:space="preserve">个工作日（不包括特殊程序时限，其中专项审计45个工作日，专家评审45个工作日，现场核查45个工作日）。 </w:t>
      </w:r>
    </w:p>
    <w:p>
      <w:pPr>
        <w:pStyle w:val="3"/>
        <w:numPr>
          <w:ilvl w:val="255"/>
          <w:numId w:val="0"/>
        </w:numPr>
        <w:tabs>
          <w:tab w:val="left" w:pos="1418"/>
        </w:tabs>
        <w:spacing w:before="0" w:after="0" w:line="240" w:lineRule="auto"/>
        <w:ind w:left="464" w:leftChars="221"/>
        <w:rPr>
          <w:rFonts w:ascii="黑体" w:hAnsi="黑体" w:eastAsia="黑体"/>
          <w:b w:val="0"/>
          <w:color w:val="auto"/>
        </w:rPr>
      </w:pPr>
      <w:r>
        <w:rPr>
          <w:rFonts w:hint="eastAsia" w:ascii="黑体" w:hAnsi="黑体" w:eastAsia="黑体" w:cstheme="majorBidi"/>
          <w:b w:val="0"/>
          <w:bCs/>
          <w:color w:val="auto"/>
          <w:sz w:val="32"/>
          <w:szCs w:val="32"/>
          <w:lang w:val="en-US" w:eastAsia="zh-CN"/>
        </w:rPr>
        <w:t xml:space="preserve"> </w:t>
      </w:r>
      <w:r>
        <w:rPr>
          <w:rFonts w:hint="eastAsia" w:ascii="黑体" w:hAnsi="黑体" w:eastAsia="黑体"/>
          <w:b w:val="0"/>
          <w:color w:val="auto"/>
        </w:rPr>
        <w:t>十一、</w:t>
      </w:r>
      <w:r>
        <w:rPr>
          <w:rFonts w:hint="eastAsia" w:ascii="黑体" w:hAnsi="黑体" w:eastAsia="黑体" w:cstheme="majorBidi"/>
          <w:b w:val="0"/>
          <w:bCs/>
          <w:color w:val="auto"/>
          <w:sz w:val="32"/>
          <w:szCs w:val="32"/>
          <w:lang w:eastAsia="zh-CN"/>
        </w:rPr>
        <w:t>核准结果</w:t>
      </w:r>
      <w:r>
        <w:rPr>
          <w:rFonts w:hint="eastAsia" w:ascii="黑体" w:hAnsi="黑体" w:eastAsia="黑体" w:cstheme="majorBidi"/>
          <w:b w:val="0"/>
          <w:bCs/>
          <w:color w:val="auto"/>
          <w:sz w:val="32"/>
          <w:szCs w:val="32"/>
        </w:rPr>
        <w:t>及有效期限</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：市工业和信息化局关于下达财政专项资金资助计划的通知。</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十二、证件的法律效力</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申请人凭批准文件获得专项资金资助。</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十三、收费</w:t>
      </w:r>
    </w:p>
    <w:p>
      <w:pPr>
        <w:spacing w:line="560" w:lineRule="exact"/>
        <w:ind w:firstLine="640" w:firstLineChars="200"/>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十四、年审或年检</w:t>
      </w:r>
    </w:p>
    <w:p>
      <w:pPr>
        <w:adjustRightInd w:val="0"/>
        <w:snapToGrid w:val="0"/>
        <w:spacing w:line="560" w:lineRule="exact"/>
        <w:ind w:firstLine="640" w:firstLineChars="200"/>
        <w:rPr>
          <w:rFonts w:asciiTheme="minorEastAsia" w:hAnsiTheme="minorEastAsia" w:eastAsiaTheme="minorEastAsia"/>
          <w:color w:val="auto"/>
          <w:sz w:val="32"/>
          <w:szCs w:val="32"/>
        </w:rPr>
      </w:pPr>
      <w:r>
        <w:rPr>
          <w:rFonts w:hint="eastAsia" w:ascii="仿宋_GB2312" w:hAnsi="仿宋_GB2312" w:eastAsia="仿宋_GB2312" w:cs="仿宋_GB2312"/>
          <w:color w:val="auto"/>
          <w:sz w:val="32"/>
          <w:szCs w:val="32"/>
        </w:rPr>
        <w:t>无年审。</w:t>
      </w:r>
      <w:r>
        <w:rPr>
          <w:rFonts w:hint="eastAsia" w:asciiTheme="minorEastAsia" w:hAnsiTheme="minorEastAsia" w:eastAsiaTheme="minorEastAsia"/>
          <w:color w:val="auto"/>
          <w:sz w:val="32"/>
          <w:szCs w:val="32"/>
        </w:rPr>
        <w:t xml:space="preserve"> </w:t>
      </w:r>
    </w:p>
    <w:p>
      <w:pPr>
        <w:pStyle w:val="3"/>
        <w:numPr>
          <w:ilvl w:val="255"/>
          <w:numId w:val="0"/>
        </w:numPr>
        <w:tabs>
          <w:tab w:val="left" w:pos="1418"/>
        </w:tabs>
        <w:spacing w:before="0" w:after="0" w:line="560" w:lineRule="exact"/>
        <w:ind w:left="464" w:leftChars="221"/>
        <w:rPr>
          <w:rFonts w:ascii="黑体" w:hAnsi="黑体" w:eastAsia="黑体"/>
          <w:b w:val="0"/>
          <w:color w:val="auto"/>
        </w:rPr>
      </w:pPr>
      <w:r>
        <w:rPr>
          <w:rFonts w:hint="eastAsia" w:ascii="黑体" w:hAnsi="黑体" w:eastAsia="黑体"/>
          <w:b w:val="0"/>
          <w:color w:val="auto"/>
        </w:rPr>
        <w:t>十五、注意事项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8"/>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8"/>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widowControl w:val="0"/>
        <w:jc w:val="both"/>
        <w:rPr>
          <w:rFonts w:hint="default" w:ascii="Times New Roman" w:hAnsi="Times New Roman" w:eastAsia="宋体" w:cs="Times New Roman"/>
          <w:color w:val="auto"/>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auto"/>
          <w:sz w:val="32"/>
          <w:szCs w:val="32"/>
          <w:lang w:val="en-US" w:eastAsia="zh-CN"/>
        </w:rPr>
      </w:pPr>
      <w:r>
        <w:rPr>
          <w:rFonts w:hint="default"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pPr>
        <w:rPr>
          <w:rFonts w:asciiTheme="minorEastAsia" w:hAnsiTheme="minorEastAsia" w:eastAsiaTheme="minorEastAsia"/>
          <w:color w:val="auto"/>
        </w:rPr>
      </w:pPr>
    </w:p>
    <w:sectPr>
      <w:footerReference r:id="rId3" w:type="default"/>
      <w:pgSz w:w="11906" w:h="16838"/>
      <w:pgMar w:top="2098"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FDC829-1817-46C5-B2F2-CBC2698C9C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0995F7D-18C2-4B92-9C29-DA29EA63CD81}"/>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FE87DA89-4C18-47AB-B00B-9A95C381A0A3}"/>
  </w:font>
  <w:font w:name="方正小标宋简体">
    <w:panose1 w:val="02000000000000000000"/>
    <w:charset w:val="86"/>
    <w:family w:val="auto"/>
    <w:pitch w:val="default"/>
    <w:sig w:usb0="00000001" w:usb1="080E0000" w:usb2="00000000" w:usb3="00000000" w:csb0="00040000" w:csb1="00000000"/>
    <w:embedRegular r:id="rId4" w:fontKey="{1932CBB9-A455-492B-A39A-BD05DC2AC506}"/>
  </w:font>
  <w:font w:name="楷体_GB2312">
    <w:panose1 w:val="02010609030101010101"/>
    <w:charset w:val="86"/>
    <w:family w:val="modern"/>
    <w:pitch w:val="default"/>
    <w:sig w:usb0="00000001" w:usb1="080E0000" w:usb2="00000000" w:usb3="00000000" w:csb0="00040000" w:csb1="00000000"/>
    <w:embedRegular r:id="rId5" w:fontKey="{40BEE621-A047-4943-BBD2-129D684EB1AF}"/>
  </w:font>
  <w:font w:name="仿宋">
    <w:panose1 w:val="02010609060101010101"/>
    <w:charset w:val="86"/>
    <w:family w:val="modern"/>
    <w:pitch w:val="default"/>
    <w:sig w:usb0="800002BF" w:usb1="38CF7CFA" w:usb2="00000016" w:usb3="00000000" w:csb0="00040001" w:csb1="00000000"/>
    <w:embedRegular r:id="rId6" w:fontKey="{88F6AC67-93A7-4078-82A1-885634054A84}"/>
  </w:font>
  <w:font w:name="微软雅黑">
    <w:panose1 w:val="020B0503020204020204"/>
    <w:charset w:val="86"/>
    <w:family w:val="swiss"/>
    <w:pitch w:val="default"/>
    <w:sig w:usb0="80000287" w:usb1="2ACF3C50" w:usb2="00000016" w:usb3="00000000" w:csb0="0004001F" w:csb1="00000000"/>
    <w:embedRegular r:id="rId7" w:fontKey="{4B3B5320-B47E-489A-93AF-51C155EEB7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0190A"/>
    <w:rsid w:val="000462ED"/>
    <w:rsid w:val="000A73CD"/>
    <w:rsid w:val="000C0F1E"/>
    <w:rsid w:val="000D05F9"/>
    <w:rsid w:val="000D7465"/>
    <w:rsid w:val="000F5C88"/>
    <w:rsid w:val="00101984"/>
    <w:rsid w:val="00102803"/>
    <w:rsid w:val="00172A27"/>
    <w:rsid w:val="001C1C46"/>
    <w:rsid w:val="001C7CB2"/>
    <w:rsid w:val="00233B2E"/>
    <w:rsid w:val="00237257"/>
    <w:rsid w:val="002618E6"/>
    <w:rsid w:val="002721B5"/>
    <w:rsid w:val="002721ED"/>
    <w:rsid w:val="002E55C9"/>
    <w:rsid w:val="00301A8D"/>
    <w:rsid w:val="00303465"/>
    <w:rsid w:val="00360B30"/>
    <w:rsid w:val="003C2EBB"/>
    <w:rsid w:val="00465532"/>
    <w:rsid w:val="00466950"/>
    <w:rsid w:val="004F6C48"/>
    <w:rsid w:val="0057104B"/>
    <w:rsid w:val="005A0359"/>
    <w:rsid w:val="005C5208"/>
    <w:rsid w:val="00606E25"/>
    <w:rsid w:val="006536FD"/>
    <w:rsid w:val="006E26E2"/>
    <w:rsid w:val="007006BF"/>
    <w:rsid w:val="007737A7"/>
    <w:rsid w:val="00777A86"/>
    <w:rsid w:val="007A5104"/>
    <w:rsid w:val="007E11CF"/>
    <w:rsid w:val="00880BE9"/>
    <w:rsid w:val="008934C3"/>
    <w:rsid w:val="008B1E34"/>
    <w:rsid w:val="008C7C22"/>
    <w:rsid w:val="008F335C"/>
    <w:rsid w:val="009B0776"/>
    <w:rsid w:val="009B4667"/>
    <w:rsid w:val="009D57AB"/>
    <w:rsid w:val="00A11DC5"/>
    <w:rsid w:val="00A52A86"/>
    <w:rsid w:val="00A60029"/>
    <w:rsid w:val="00A93B79"/>
    <w:rsid w:val="00A97D25"/>
    <w:rsid w:val="00AC5D5D"/>
    <w:rsid w:val="00B47686"/>
    <w:rsid w:val="00B645F2"/>
    <w:rsid w:val="00B7394D"/>
    <w:rsid w:val="00B878A8"/>
    <w:rsid w:val="00BA11D3"/>
    <w:rsid w:val="00BB3ABF"/>
    <w:rsid w:val="00C509B2"/>
    <w:rsid w:val="00C55DF2"/>
    <w:rsid w:val="00CF43A6"/>
    <w:rsid w:val="00DA2D28"/>
    <w:rsid w:val="00DA3A5A"/>
    <w:rsid w:val="00DC6364"/>
    <w:rsid w:val="00DF783B"/>
    <w:rsid w:val="00E040F9"/>
    <w:rsid w:val="00E41011"/>
    <w:rsid w:val="00EA4313"/>
    <w:rsid w:val="00EF021A"/>
    <w:rsid w:val="00F16D40"/>
    <w:rsid w:val="00F2274D"/>
    <w:rsid w:val="00F41A9C"/>
    <w:rsid w:val="00F4230C"/>
    <w:rsid w:val="00F56BFB"/>
    <w:rsid w:val="00F829CD"/>
    <w:rsid w:val="00F87573"/>
    <w:rsid w:val="00FA57CD"/>
    <w:rsid w:val="00FB4DDA"/>
    <w:rsid w:val="00FF7FB1"/>
    <w:rsid w:val="028E151F"/>
    <w:rsid w:val="0310419A"/>
    <w:rsid w:val="06A43013"/>
    <w:rsid w:val="0A86042B"/>
    <w:rsid w:val="0B603885"/>
    <w:rsid w:val="0C5B44D7"/>
    <w:rsid w:val="0C96619C"/>
    <w:rsid w:val="0E4E35B7"/>
    <w:rsid w:val="0F8D74C5"/>
    <w:rsid w:val="11DB28CF"/>
    <w:rsid w:val="121C4227"/>
    <w:rsid w:val="12914B93"/>
    <w:rsid w:val="12C26375"/>
    <w:rsid w:val="12F26E2C"/>
    <w:rsid w:val="13E05834"/>
    <w:rsid w:val="15CE169E"/>
    <w:rsid w:val="17C14F3A"/>
    <w:rsid w:val="1955083A"/>
    <w:rsid w:val="1CBD545E"/>
    <w:rsid w:val="1DF77787"/>
    <w:rsid w:val="1E8D2588"/>
    <w:rsid w:val="240E0E10"/>
    <w:rsid w:val="25B34B41"/>
    <w:rsid w:val="271C0265"/>
    <w:rsid w:val="27A3064E"/>
    <w:rsid w:val="283C5B8C"/>
    <w:rsid w:val="2B395386"/>
    <w:rsid w:val="2BDE5160"/>
    <w:rsid w:val="2C09331F"/>
    <w:rsid w:val="2D0C4364"/>
    <w:rsid w:val="31AB55F5"/>
    <w:rsid w:val="34494B92"/>
    <w:rsid w:val="354B449E"/>
    <w:rsid w:val="376E3BE8"/>
    <w:rsid w:val="395500DD"/>
    <w:rsid w:val="3A2F14BF"/>
    <w:rsid w:val="3B2929B3"/>
    <w:rsid w:val="3BFA6A00"/>
    <w:rsid w:val="3D3558D8"/>
    <w:rsid w:val="3EBFB93A"/>
    <w:rsid w:val="405C0D34"/>
    <w:rsid w:val="435E3EE6"/>
    <w:rsid w:val="43620EF0"/>
    <w:rsid w:val="447F5EC2"/>
    <w:rsid w:val="449621A5"/>
    <w:rsid w:val="45130693"/>
    <w:rsid w:val="45C0273F"/>
    <w:rsid w:val="4648327B"/>
    <w:rsid w:val="46697034"/>
    <w:rsid w:val="472965B9"/>
    <w:rsid w:val="473632F0"/>
    <w:rsid w:val="480A2BFF"/>
    <w:rsid w:val="48286785"/>
    <w:rsid w:val="482C686A"/>
    <w:rsid w:val="4A405680"/>
    <w:rsid w:val="4B60265A"/>
    <w:rsid w:val="4C464C0E"/>
    <w:rsid w:val="4D6D579B"/>
    <w:rsid w:val="53103DA2"/>
    <w:rsid w:val="531613C0"/>
    <w:rsid w:val="545A160A"/>
    <w:rsid w:val="56807C8D"/>
    <w:rsid w:val="56EC543F"/>
    <w:rsid w:val="57AC62FA"/>
    <w:rsid w:val="587B1F79"/>
    <w:rsid w:val="59374B66"/>
    <w:rsid w:val="5B0A3421"/>
    <w:rsid w:val="5D351F88"/>
    <w:rsid w:val="6120450A"/>
    <w:rsid w:val="613170F5"/>
    <w:rsid w:val="68FF42C2"/>
    <w:rsid w:val="6A121BF6"/>
    <w:rsid w:val="6BAB48CE"/>
    <w:rsid w:val="6D8A6A8E"/>
    <w:rsid w:val="6F624C36"/>
    <w:rsid w:val="74242CEE"/>
    <w:rsid w:val="751237CD"/>
    <w:rsid w:val="76C053D6"/>
    <w:rsid w:val="77EF131B"/>
    <w:rsid w:val="78462887"/>
    <w:rsid w:val="78933A2B"/>
    <w:rsid w:val="799534B7"/>
    <w:rsid w:val="7A8A27A6"/>
    <w:rsid w:val="7AF57AA1"/>
    <w:rsid w:val="7B9143C1"/>
    <w:rsid w:val="7BC37209"/>
    <w:rsid w:val="7D0B042F"/>
    <w:rsid w:val="7DB5467C"/>
    <w:rsid w:val="7DE07FB2"/>
    <w:rsid w:val="7E130D51"/>
    <w:rsid w:val="7E611BB9"/>
    <w:rsid w:val="7FD97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line="540" w:lineRule="exact"/>
      <w:ind w:firstLine="622" w:firstLineChars="200"/>
    </w:pPr>
    <w:rPr>
      <w:rFonts w:ascii="Times New Roman" w:hAnsi="Times New Roman" w:eastAsia="仿宋_GB2312"/>
      <w:sz w:val="32"/>
    </w:rPr>
  </w:style>
  <w:style w:type="paragraph" w:styleId="4">
    <w:name w:val="annotation text"/>
    <w:basedOn w:val="1"/>
    <w:link w:val="19"/>
    <w:qFormat/>
    <w:uiPriority w:val="0"/>
    <w:pPr>
      <w:jc w:val="left"/>
    </w:pPr>
  </w:style>
  <w:style w:type="paragraph" w:styleId="5">
    <w:name w:val="Balloon Text"/>
    <w:basedOn w:val="1"/>
    <w:link w:val="18"/>
    <w:qFormat/>
    <w:uiPriority w:val="0"/>
    <w:rPr>
      <w:sz w:val="18"/>
      <w:szCs w:val="18"/>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autoRedefine/>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9">
    <w:name w:val="annotation subject"/>
    <w:basedOn w:val="4"/>
    <w:next w:val="4"/>
    <w:link w:val="20"/>
    <w:autoRedefine/>
    <w:qFormat/>
    <w:uiPriority w:val="0"/>
    <w:rPr>
      <w:b/>
      <w:bCs/>
    </w:rPr>
  </w:style>
  <w:style w:type="character" w:styleId="12">
    <w:name w:val="annotation reference"/>
    <w:basedOn w:val="11"/>
    <w:autoRedefine/>
    <w:qFormat/>
    <w:uiPriority w:val="0"/>
    <w:rPr>
      <w:sz w:val="21"/>
      <w:szCs w:val="21"/>
    </w:rPr>
  </w:style>
  <w:style w:type="paragraph" w:customStyle="1" w:styleId="13">
    <w:name w:val="黑体"/>
    <w:autoRedefine/>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4">
    <w:name w:val="修订1"/>
    <w:autoRedefine/>
    <w:hidden/>
    <w:semiHidden/>
    <w:qFormat/>
    <w:uiPriority w:val="99"/>
    <w:rPr>
      <w:rFonts w:ascii="Calibri" w:hAnsi="Calibri" w:eastAsia="宋体" w:cs="Times New Roman"/>
      <w:kern w:val="2"/>
      <w:sz w:val="21"/>
      <w:szCs w:val="22"/>
      <w:lang w:val="en-US" w:eastAsia="zh-CN" w:bidi="ar-SA"/>
    </w:rPr>
  </w:style>
  <w:style w:type="character" w:customStyle="1" w:styleId="15">
    <w:name w:val="页脚 字符"/>
    <w:basedOn w:val="11"/>
    <w:link w:val="6"/>
    <w:autoRedefine/>
    <w:qFormat/>
    <w:uiPriority w:val="0"/>
    <w:rPr>
      <w:rFonts w:ascii="Calibri" w:hAnsi="Calibri" w:eastAsia="宋体" w:cs="Times New Roman"/>
      <w:kern w:val="2"/>
      <w:sz w:val="18"/>
      <w:szCs w:val="18"/>
    </w:rPr>
  </w:style>
  <w:style w:type="character" w:customStyle="1" w:styleId="16">
    <w:name w:val="页眉 字符"/>
    <w:basedOn w:val="11"/>
    <w:link w:val="7"/>
    <w:autoRedefine/>
    <w:qFormat/>
    <w:uiPriority w:val="0"/>
    <w:rPr>
      <w:rFonts w:ascii="Calibri" w:hAnsi="Calibri" w:eastAsia="宋体" w:cs="Times New Roman"/>
      <w:kern w:val="2"/>
      <w:sz w:val="18"/>
      <w:szCs w:val="18"/>
    </w:rPr>
  </w:style>
  <w:style w:type="paragraph" w:styleId="17">
    <w:name w:val="List Paragraph"/>
    <w:basedOn w:val="1"/>
    <w:autoRedefine/>
    <w:qFormat/>
    <w:uiPriority w:val="99"/>
    <w:pPr>
      <w:ind w:firstLine="420" w:firstLineChars="200"/>
    </w:pPr>
  </w:style>
  <w:style w:type="character" w:customStyle="1" w:styleId="18">
    <w:name w:val="批注框文本 字符"/>
    <w:basedOn w:val="11"/>
    <w:link w:val="5"/>
    <w:autoRedefine/>
    <w:qFormat/>
    <w:uiPriority w:val="0"/>
    <w:rPr>
      <w:rFonts w:ascii="Calibri" w:hAnsi="Calibri" w:eastAsia="宋体" w:cs="Times New Roman"/>
      <w:kern w:val="2"/>
      <w:sz w:val="18"/>
      <w:szCs w:val="18"/>
    </w:rPr>
  </w:style>
  <w:style w:type="character" w:customStyle="1" w:styleId="19">
    <w:name w:val="批注文字 字符"/>
    <w:basedOn w:val="11"/>
    <w:link w:val="4"/>
    <w:autoRedefine/>
    <w:qFormat/>
    <w:uiPriority w:val="0"/>
    <w:rPr>
      <w:rFonts w:ascii="Calibri" w:hAnsi="Calibri" w:eastAsia="宋体" w:cs="Times New Roman"/>
      <w:kern w:val="2"/>
      <w:sz w:val="21"/>
      <w:szCs w:val="22"/>
    </w:rPr>
  </w:style>
  <w:style w:type="character" w:customStyle="1" w:styleId="20">
    <w:name w:val="批注主题 字符"/>
    <w:basedOn w:val="19"/>
    <w:link w:val="9"/>
    <w:autoRedefine/>
    <w:qFormat/>
    <w:uiPriority w:val="0"/>
    <w:rPr>
      <w:rFonts w:ascii="Calibri" w:hAnsi="Calibri" w:eastAsia="宋体" w:cs="Times New Roman"/>
      <w:b/>
      <w:bCs/>
      <w:kern w:val="2"/>
      <w:sz w:val="21"/>
      <w:szCs w:val="22"/>
    </w:rPr>
  </w:style>
  <w:style w:type="paragraph" w:customStyle="1" w:styleId="21">
    <w:name w:val="正文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Revision"/>
    <w:autoRedefine/>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569</Words>
  <Characters>3249</Characters>
  <Lines>27</Lines>
  <Paragraphs>7</Paragraphs>
  <TotalTime>2</TotalTime>
  <ScaleCrop>false</ScaleCrop>
  <LinksUpToDate>false</LinksUpToDate>
  <CharactersWithSpaces>3811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2024-01-08T17:03:00Z</dcterms:created>
  <dc:creator>10141</dc:creator>
  <cp:lastModifiedBy>罗天</cp:lastModifiedBy>
  <cp:lastPrinted>2022-11-28T19:45:00Z</cp:lastPrinted>
  <dcterms:modified xsi:type="dcterms:W3CDTF">2024-04-28T09:41:27Z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603765643840419FAF2557CA7908B792</vt:lpwstr>
  </property>
  <property fmtid="{D5CDD505-2E9C-101B-9397-08002B2CF9AE}" pid="4" name="_2015_ms_pID_725343">
    <vt:lpwstr>(3)eVTYZtazF0Kg60L2CyF/RQ/UcqL/tuTWG/cx/Jz2Wtcr+A/QboYWVBLueReAaAkjK2Cmrqv7
9lu1qJnfAnwj6Zu+6f5BfJGSMgss2/yC3i7sUD8P/RzvtK+WNLF9/KUd6xZPIdzGZaKkaB+A
gnxIvpLtrGrB5EJXC4p/utKXVbGtBT9J9P35+iceP4yz3iMM3Vh6+peJzZli4KOstA/X7Fo6
G/WGTh1PHGvenNyI3N</vt:lpwstr>
  </property>
  <property fmtid="{D5CDD505-2E9C-101B-9397-08002B2CF9AE}" pid="5" name="_2015_ms_pID_7253431">
    <vt:lpwstr>LYCEhN95WnKQKbfO+5me2xR5DEh/lRKprsAiqqbkpyS0thn4LfsGMl
7+5ogIMJ8kzzIBcelXytKbzrHsI/GaLuVbpq4U3cRxhmxRza+1gCHDuV0PD3ZNL/MeddMWBq
JFjLYe29CGFQhccjiiPI133CIL8FYoIJWvjzkYbIpSTUXmyuxdOz5SJYmYBw69gOniTFhMw0
HcLR5YAgntFVm5vCkTbkkUoFUVBC8hR5omiB</vt:lpwstr>
  </property>
  <property fmtid="{D5CDD505-2E9C-101B-9397-08002B2CF9AE}" pid="6" name="_2015_ms_pID_7253432">
    <vt:lpwstr>ohJiKFKF9jFZqL+Wz58c6w14d6onaEboI/by
u4PAGOuY</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ies>
</file>