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before="625" w:beforeLines="200" w:beforeAutospacing="0" w:after="313" w:afterLines="100" w:afterAutospacing="0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知识产权服务机构能力提升奖励申报指南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申报内容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度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知识产权服务机构能力提升奖励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设定依据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（一）《深圳市市场监督管理局专项资金管理办法》</w:t>
      </w:r>
      <w:r>
        <w:rPr>
          <w:rFonts w:hint="default" w:ascii="仿宋_GB2312" w:eastAsia="仿宋_GB2312"/>
          <w:sz w:val="32"/>
          <w:szCs w:val="32"/>
          <w:highlight w:val="none"/>
        </w:rPr>
        <w:t>(</w:t>
      </w:r>
      <w:r>
        <w:rPr>
          <w:rFonts w:hint="eastAsia" w:ascii="仿宋_GB2312" w:eastAsia="仿宋_GB2312"/>
          <w:sz w:val="32"/>
          <w:szCs w:val="32"/>
          <w:highlight w:val="none"/>
        </w:rPr>
        <w:t>深市监规〔2020〕3号</w:t>
      </w:r>
      <w:r>
        <w:rPr>
          <w:rFonts w:hint="default" w:ascii="仿宋_GB2312" w:eastAsia="仿宋_GB2312"/>
          <w:sz w:val="32"/>
          <w:szCs w:val="32"/>
          <w:highlight w:val="none"/>
        </w:rPr>
        <w:t>)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tabs>
          <w:tab w:val="left" w:pos="5250"/>
        </w:tabs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（二）《深圳市市场监督管理局知识产权领域专项资金操作规程》</w:t>
      </w:r>
      <w:r>
        <w:rPr>
          <w:rFonts w:hint="default" w:ascii="仿宋_GB2312" w:eastAsia="仿宋_GB2312"/>
          <w:sz w:val="32"/>
          <w:szCs w:val="32"/>
          <w:highlight w:val="none"/>
        </w:rPr>
        <w:t>(</w:t>
      </w:r>
      <w:r>
        <w:rPr>
          <w:rFonts w:hint="eastAsia" w:ascii="仿宋_GB2312" w:eastAsia="仿宋_GB2312"/>
          <w:sz w:val="32"/>
          <w:szCs w:val="32"/>
          <w:highlight w:val="none"/>
        </w:rPr>
        <w:t>深市监规〔202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号</w:t>
      </w:r>
      <w:r>
        <w:rPr>
          <w:rFonts w:hint="default" w:ascii="仿宋_GB2312" w:eastAsia="仿宋_GB2312"/>
          <w:sz w:val="32"/>
          <w:szCs w:val="32"/>
          <w:highlight w:val="none"/>
        </w:rPr>
        <w:t>)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资助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标准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每年评选不超过10家，每家奖励20万元。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申请人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应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当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同时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符合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下列条件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（一）申请人属于依法登记注册的知识产权服务机构，在深圳市从事生产经营活动，且在深圳市拥有稳定办公场所；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（二）在深圳市从事知识产权相关服务经营活动，为深圳市企事业单位、其他机构或个人提供知识产权服务；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（三）拥有专利代理师或律师10人以上；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上年度代理知识产权许可转让、专利无效、专利复审、专利诉讼等业务案例5项以上；或已为至少2家世界500强企业提供知识产权业务服务；或上年度代理的发明专利授权数量达100件以上，且上年度发明专利代理授权率不低于60%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或上年度独立开展知识产权评估、许可、转让、交易、投融资、产业化、作价入股或专利池集成运作等方面的运营业务，取得较好成效；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（五）上年度经营状况良好，产生了较好的经济效益。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不予资助的情形</w:t>
      </w:r>
    </w:p>
    <w:p>
      <w:pPr>
        <w:pStyle w:val="16"/>
        <w:numPr>
          <w:ilvl w:val="0"/>
          <w:numId w:val="0"/>
        </w:numPr>
        <w:snapToGrid w:val="0"/>
        <w:spacing w:line="560" w:lineRule="exact"/>
        <w:ind w:left="420" w:leftChars="200" w:firstLine="320" w:firstLineChars="100"/>
        <w:jc w:val="left"/>
        <w:rPr>
          <w:rFonts w:hint="eastAsia" w:ascii="仿宋_GB2312" w:hAnsi="Times New Roman" w:eastAsia="仿宋_GB2312" w:cs="Times New Roman"/>
          <w:b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申请人存在下列情形之一的，不予资助：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（一）不符合相关法律、法规、规章、专项资金管理办法、专项资金操作规程有关要求的；</w:t>
      </w:r>
    </w:p>
    <w:p>
      <w:pPr>
        <w:pStyle w:val="16"/>
        <w:numPr>
          <w:ilvl w:val="0"/>
          <w:numId w:val="0"/>
        </w:numPr>
        <w:adjustRightInd w:val="0"/>
        <w:snapToGrid w:val="0"/>
        <w:spacing w:line="560" w:lineRule="exact"/>
        <w:ind w:left="420" w:leftChars="200" w:firstLine="320" w:firstLineChars="100"/>
        <w:jc w:val="left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（二）经查询深圳市信用网，依法依规被纳入严重失信主体名单的；</w:t>
      </w:r>
    </w:p>
    <w:p>
      <w:pPr>
        <w:pStyle w:val="16"/>
        <w:numPr>
          <w:ilvl w:val="0"/>
          <w:numId w:val="0"/>
        </w:numPr>
        <w:adjustRightInd w:val="0"/>
        <w:snapToGrid w:val="0"/>
        <w:spacing w:line="560" w:lineRule="exact"/>
        <w:ind w:left="420" w:leftChars="200" w:firstLine="320" w:firstLineChars="100"/>
        <w:jc w:val="left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）所申请项目已经获得市级同类资助或者奖励的；</w:t>
      </w:r>
    </w:p>
    <w:p>
      <w:pPr>
        <w:pStyle w:val="16"/>
        <w:numPr>
          <w:ilvl w:val="0"/>
          <w:numId w:val="0"/>
        </w:numPr>
        <w:adjustRightInd w:val="0"/>
        <w:snapToGrid w:val="0"/>
        <w:spacing w:line="560" w:lineRule="exact"/>
        <w:ind w:left="420" w:leftChars="200" w:firstLine="320" w:firstLineChars="100"/>
        <w:jc w:val="left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）申请人主体已经消亡，或者进入破产清算程序的。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申请材料</w:t>
      </w:r>
    </w:p>
    <w:p>
      <w:pPr>
        <w:pStyle w:val="16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申请表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在申报系统上在线填写项目申报信息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pStyle w:val="16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申请人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年度为深圳市企事业单位、其他机构或个人提供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的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知识产权服务清单</w:t>
      </w:r>
    </w:p>
    <w:p>
      <w:pPr>
        <w:numPr>
          <w:ilvl w:val="0"/>
          <w:numId w:val="0"/>
        </w:numPr>
        <w:snapToGrid/>
        <w:spacing w:line="240" w:lineRule="auto"/>
        <w:ind w:firstLine="642" w:firstLineChars="0"/>
        <w:jc w:val="left"/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提交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2023年度为深圳市企事业单位、其他机构或个人提供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知识产权服务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</w:rPr>
        <w:t>服务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佐证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</w:rPr>
        <w:t>材料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u w:val="none"/>
        </w:rPr>
        <w:t>（如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</w:rPr>
        <w:t>委托合同、相关业务官方文件等</w:t>
      </w:r>
      <w:r>
        <w:rPr>
          <w:rFonts w:hint="default" w:ascii="仿宋_GB2312" w:hAnsi="Calibri" w:eastAsia="仿宋_GB2312" w:cs="Times New Roman"/>
          <w:sz w:val="32"/>
          <w:szCs w:val="32"/>
          <w:highlight w:val="none"/>
        </w:rPr>
        <w:t>）。</w:t>
      </w:r>
    </w:p>
    <w:p>
      <w:pPr>
        <w:pStyle w:val="16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专业工作人员清单及相应的资质材料</w:t>
      </w:r>
    </w:p>
    <w:p>
      <w:pPr>
        <w:numPr>
          <w:ilvl w:val="0"/>
          <w:numId w:val="0"/>
        </w:numPr>
        <w:snapToGrid/>
        <w:spacing w:line="240" w:lineRule="auto"/>
        <w:ind w:firstLine="642" w:firstLineChars="0"/>
        <w:jc w:val="left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  <w:t>提交专业工作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t>人员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  <w:t>知识产权相关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执业资格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佐证材料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。</w:t>
      </w:r>
    </w:p>
    <w:p>
      <w:pPr>
        <w:pStyle w:val="16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知识产权业务相关材料，包括但不限于运营合同、诉讼判决文书、无效复审决定、知识产权服务合同、代理授权专利清单、发明专利代理授权率相关资料等</w:t>
      </w:r>
    </w:p>
    <w:p>
      <w:pPr>
        <w:numPr>
          <w:ilvl w:val="0"/>
          <w:numId w:val="0"/>
        </w:numPr>
        <w:snapToGrid w:val="0"/>
        <w:spacing w:line="560" w:lineRule="exact"/>
        <w:ind w:firstLine="642"/>
        <w:jc w:val="left"/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</w:rPr>
        <w:t>可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提供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年度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eastAsia="zh-CN"/>
        </w:rPr>
        <w:t>代理的知识产权许可转让、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运营合同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无效宣告请求审查决定书、专利复审决定等业务成功案例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eastAsia="zh-CN"/>
        </w:rPr>
        <w:t>佐证材料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项以上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</w:p>
    <w:p>
      <w:pPr>
        <w:numPr>
          <w:ilvl w:val="0"/>
          <w:numId w:val="0"/>
        </w:numPr>
        <w:snapToGrid w:val="0"/>
        <w:spacing w:line="560" w:lineRule="exact"/>
        <w:ind w:firstLine="642"/>
        <w:jc w:val="left"/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可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提供已为2家及以上世界500强企业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开展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知识产权服务业务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eastAsia="zh-CN"/>
        </w:rPr>
        <w:t>佐证材料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（如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委托合同、相关业务官方文件等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.</w:t>
      </w:r>
      <w:r>
        <w:rPr>
          <w:rFonts w:hint="default" w:ascii="仿宋_GB2312" w:hAnsi="Calibri" w:eastAsia="仿宋_GB2312" w:cs="Times New Roman"/>
          <w:sz w:val="32"/>
          <w:szCs w:val="32"/>
          <w:highlight w:val="none"/>
        </w:rPr>
        <w:t>可提供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年度</w:t>
      </w:r>
      <w:r>
        <w:rPr>
          <w:rFonts w:hint="default" w:ascii="仿宋_GB2312" w:hAnsi="Calibri" w:eastAsia="仿宋_GB2312" w:cs="Times New Roman"/>
          <w:sz w:val="32"/>
          <w:szCs w:val="32"/>
          <w:highlight w:val="none"/>
        </w:rPr>
        <w:t>代理的境内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发明专利授权量</w:t>
      </w:r>
      <w:r>
        <w:rPr>
          <w:rFonts w:hint="default" w:ascii="仿宋_GB2312" w:hAnsi="Calibri" w:eastAsia="仿宋_GB2312" w:cs="Times New Roman"/>
          <w:sz w:val="32"/>
          <w:szCs w:val="32"/>
          <w:highlight w:val="none"/>
        </w:rPr>
        <w:t>达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件以上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清单</w:t>
      </w:r>
      <w:r>
        <w:rPr>
          <w:rFonts w:hint="default" w:ascii="仿宋_GB2312" w:hAnsi="Calibri" w:eastAsia="仿宋_GB2312" w:cs="Times New Roman"/>
          <w:sz w:val="32"/>
          <w:szCs w:val="32"/>
          <w:highlight w:val="none"/>
          <w:lang w:eastAsia="zh-CN"/>
        </w:rPr>
        <w:t>（系统模板）及相关佐证材料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，且</w:t>
      </w:r>
      <w:r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2023年度发明专利代理授权率不低于60%的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eastAsia="zh-CN"/>
        </w:rPr>
        <w:t>佐证材料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</w:p>
    <w:p>
      <w:pPr>
        <w:pStyle w:val="2"/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4.可提交2023年独立开展知识产权评估、许可、转让、交易、投融资、产业化、作价入股或专利池集成运作等方面的运营业务的相关佐证材料。</w:t>
      </w:r>
    </w:p>
    <w:p>
      <w:pPr>
        <w:pStyle w:val="16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2023年度经营状况良好，产生了较好的经济效益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  <w:t>提交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2023年年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  <w:t>度财务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t>审计报告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  <w:t>或财务报表，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  <w:t>在深圳市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  <w:t>设立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  <w:t>稳定办公场所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  <w:t>相关材料。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以上第（一）至第（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）项全部申请材料应当确保页面</w:t>
      </w:r>
      <w:r>
        <w:rPr>
          <w:rFonts w:hint="eastAsia" w:ascii="仿宋_GB2312" w:hAnsi="Calibri" w:eastAsia="仿宋_GB2312" w:cs="Times New Roman"/>
          <w:sz w:val="32"/>
          <w:szCs w:val="32"/>
        </w:rPr>
        <w:t>文字、公章、签名等实质性内容清晰可辨，各页面主要内容均为正向，不可横置或倒置。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hint="eastAsia" w:ascii="仿宋_GB2312" w:hAnsi="Calibri" w:eastAsia="仿宋_GB2312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受理事宜</w:t>
      </w:r>
    </w:p>
    <w:p>
      <w:pPr>
        <w:snapToGrid w:val="0"/>
        <w:spacing w:line="560" w:lineRule="exact"/>
        <w:ind w:firstLine="642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（一）受理机关</w:t>
      </w:r>
      <w:r>
        <w:rPr>
          <w:rFonts w:hint="eastAsia" w:ascii="楷体" w:hAnsi="楷体" w:eastAsia="楷体" w:cs="楷体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sz w:val="32"/>
          <w:szCs w:val="32"/>
        </w:rPr>
        <w:t>深圳市市场监督管理局。</w:t>
      </w:r>
    </w:p>
    <w:p>
      <w:pPr>
        <w:snapToGrid w:val="0"/>
        <w:spacing w:line="560" w:lineRule="exact"/>
        <w:ind w:firstLine="642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（二）受理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日9:00至202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日18:00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（三）申报方式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实行网上在线申报，申报</w:t>
      </w:r>
      <w:r>
        <w:rPr>
          <w:rFonts w:hint="eastAsia" w:ascii="仿宋_GB2312" w:eastAsia="仿宋_GB2312"/>
          <w:sz w:val="32"/>
          <w:szCs w:val="32"/>
          <w:lang w:eastAsia="zh-CN"/>
        </w:rPr>
        <w:t>人需进入深圳市财政专项资金统一管理平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https://cqt.szfb.sz.gov.cn/#/home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"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该平台已与</w:t>
      </w:r>
      <w:r>
        <w:rPr>
          <w:rFonts w:hint="eastAsia" w:ascii="仿宋_GB2312" w:eastAsia="仿宋_GB2312"/>
          <w:sz w:val="32"/>
          <w:szCs w:val="32"/>
          <w:highlight w:val="none"/>
        </w:rPr>
        <w:t>广东政务服务网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信息进行对接，申请人可使用</w:t>
      </w:r>
      <w:r>
        <w:rPr>
          <w:rFonts w:hint="eastAsia" w:ascii="仿宋_GB2312" w:eastAsia="仿宋_GB2312"/>
          <w:sz w:val="32"/>
          <w:szCs w:val="32"/>
          <w:highlight w:val="none"/>
        </w:rPr>
        <w:t>广东政务服务网账户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密码进行登录，在搜索栏搜索本项目名称，</w:t>
      </w:r>
      <w:r>
        <w:rPr>
          <w:rFonts w:hint="eastAsia" w:ascii="仿宋_GB2312" w:eastAsia="仿宋_GB2312"/>
          <w:sz w:val="32"/>
          <w:szCs w:val="32"/>
        </w:rPr>
        <w:t>选中后进入申报页面。</w:t>
      </w:r>
      <w:r>
        <w:rPr>
          <w:rFonts w:ascii="仿宋_GB2312" w:eastAsia="仿宋_GB2312"/>
          <w:kern w:val="0"/>
          <w:sz w:val="32"/>
          <w:szCs w:val="32"/>
        </w:rPr>
        <w:t>将本指南第</w:t>
      </w:r>
      <w:r>
        <w:rPr>
          <w:rFonts w:hint="eastAsia" w:ascii="仿宋_GB2312" w:eastAsia="仿宋_GB2312"/>
          <w:kern w:val="0"/>
          <w:sz w:val="32"/>
          <w:szCs w:val="32"/>
        </w:rPr>
        <w:t>六</w:t>
      </w:r>
      <w:r>
        <w:rPr>
          <w:rFonts w:ascii="仿宋_GB2312" w:eastAsia="仿宋_GB2312"/>
          <w:kern w:val="0"/>
          <w:sz w:val="32"/>
          <w:szCs w:val="32"/>
        </w:rPr>
        <w:t>条要求的</w:t>
      </w:r>
      <w:r>
        <w:rPr>
          <w:rFonts w:hint="eastAsia" w:ascii="仿宋_GB2312" w:eastAsia="仿宋_GB2312"/>
          <w:kern w:val="0"/>
          <w:sz w:val="32"/>
          <w:szCs w:val="32"/>
        </w:rPr>
        <w:t>全部</w:t>
      </w:r>
      <w:r>
        <w:rPr>
          <w:rFonts w:ascii="仿宋_GB2312" w:eastAsia="仿宋_GB2312"/>
          <w:kern w:val="0"/>
          <w:sz w:val="32"/>
          <w:szCs w:val="32"/>
        </w:rPr>
        <w:t>申</w:t>
      </w:r>
      <w:r>
        <w:rPr>
          <w:rFonts w:hint="eastAsia" w:ascii="仿宋_GB2312" w:eastAsia="仿宋_GB2312"/>
          <w:kern w:val="0"/>
          <w:sz w:val="32"/>
          <w:szCs w:val="32"/>
        </w:rPr>
        <w:t>请</w:t>
      </w:r>
      <w:r>
        <w:rPr>
          <w:rFonts w:ascii="仿宋_GB2312" w:eastAsia="仿宋_GB2312"/>
          <w:kern w:val="0"/>
          <w:sz w:val="32"/>
          <w:szCs w:val="32"/>
        </w:rPr>
        <w:t>材料按照申报系统中的</w:t>
      </w:r>
      <w:r>
        <w:rPr>
          <w:rFonts w:hint="eastAsia" w:ascii="仿宋_GB2312" w:eastAsia="仿宋_GB2312"/>
          <w:kern w:val="0"/>
          <w:sz w:val="32"/>
          <w:szCs w:val="32"/>
        </w:rPr>
        <w:t>有关</w:t>
      </w:r>
      <w:r>
        <w:rPr>
          <w:rFonts w:ascii="仿宋_GB2312" w:eastAsia="仿宋_GB2312"/>
          <w:kern w:val="0"/>
          <w:sz w:val="32"/>
          <w:szCs w:val="32"/>
        </w:rPr>
        <w:t>提示要求</w:t>
      </w:r>
      <w:r>
        <w:rPr>
          <w:rFonts w:hint="eastAsia" w:ascii="仿宋_GB2312" w:eastAsia="仿宋_GB2312"/>
          <w:kern w:val="0"/>
          <w:sz w:val="32"/>
          <w:szCs w:val="32"/>
        </w:rPr>
        <w:t>分别</w:t>
      </w:r>
      <w:r>
        <w:rPr>
          <w:rFonts w:ascii="仿宋_GB2312" w:eastAsia="仿宋_GB2312"/>
          <w:kern w:val="0"/>
          <w:sz w:val="32"/>
          <w:szCs w:val="32"/>
        </w:rPr>
        <w:t>上传。</w:t>
      </w:r>
    </w:p>
    <w:p>
      <w:pPr>
        <w:snapToGrid w:val="0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申报系统技术支持电话：0755-27038037。申报业务咨询电话：0755-83070752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办公时间：星期一至星期五（法定节假日除外）上午09:00-12:00，下午14:00-18:00。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决定机关</w:t>
      </w:r>
    </w:p>
    <w:p>
      <w:pPr>
        <w:numPr>
          <w:ilvl w:val="0"/>
          <w:numId w:val="0"/>
        </w:numPr>
        <w:snapToGrid/>
        <w:spacing w:line="240" w:lineRule="auto"/>
        <w:ind w:firstLine="642" w:firstLineChars="0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深圳市市场监督管理局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办理程序与注意事项</w:t>
      </w:r>
    </w:p>
    <w:p>
      <w:pPr>
        <w:snapToGrid w:val="0"/>
        <w:spacing w:line="560" w:lineRule="exact"/>
        <w:ind w:firstLine="642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（一）办理程序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市市场监管局发布年度申报指南（通知）——申请人网上申报（通过申报系统在线提交电子申请材料）——市市场监管局受理初审（含可能发生的补正程序）——专家评审——</w:t>
      </w:r>
      <w:r>
        <w:rPr>
          <w:rFonts w:hint="default" w:ascii="仿宋_GB2312" w:eastAsia="仿宋_GB2312"/>
          <w:sz w:val="32"/>
          <w:highlight w:val="none"/>
        </w:rPr>
        <w:t>会同</w:t>
      </w:r>
      <w:r>
        <w:rPr>
          <w:rFonts w:hint="eastAsia" w:ascii="仿宋_GB2312" w:eastAsia="仿宋_GB2312"/>
          <w:sz w:val="32"/>
          <w:highlight w:val="none"/>
        </w:rPr>
        <w:t>相关部门核对数据、核查诚信情况</w:t>
      </w:r>
      <w:r>
        <w:rPr>
          <w:rFonts w:hint="default" w:ascii="仿宋_GB2312" w:eastAsia="仿宋_GB2312"/>
          <w:sz w:val="32"/>
          <w:highlight w:val="none"/>
        </w:rPr>
        <w:t>和重复资助情况</w:t>
      </w:r>
      <w:r>
        <w:rPr>
          <w:rFonts w:hint="eastAsia" w:ascii="仿宋_GB2312" w:eastAsia="仿宋_GB2312"/>
          <w:sz w:val="32"/>
          <w:highlight w:val="none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集体研究决策</w:t>
      </w:r>
      <w:r>
        <w:rPr>
          <w:rFonts w:hint="eastAsia" w:ascii="仿宋_GB2312" w:eastAsia="仿宋_GB2312"/>
          <w:sz w:val="32"/>
          <w:highlight w:val="none"/>
        </w:rPr>
        <w:t>——公示（</w:t>
      </w:r>
      <w:r>
        <w:rPr>
          <w:rFonts w:ascii="仿宋_GB2312" w:eastAsia="仿宋_GB2312"/>
          <w:sz w:val="32"/>
          <w:highlight w:val="none"/>
        </w:rPr>
        <w:t>5个工作日）</w:t>
      </w:r>
      <w:r>
        <w:rPr>
          <w:rFonts w:hint="eastAsia" w:ascii="仿宋_GB2312" w:eastAsia="仿宋_GB2312"/>
          <w:sz w:val="32"/>
          <w:highlight w:val="none"/>
        </w:rPr>
        <w:t>——财政资金预算申请</w:t>
      </w:r>
      <w:r>
        <w:rPr>
          <w:rFonts w:hint="eastAsia" w:ascii="仿宋_GB2312" w:eastAsia="仿宋_GB2312"/>
          <w:sz w:val="32"/>
          <w:highlight w:val="none"/>
          <w:lang w:eastAsia="zh-CN"/>
        </w:rPr>
        <w:t>——</w:t>
      </w:r>
      <w:r>
        <w:rPr>
          <w:rFonts w:hint="eastAsia" w:ascii="仿宋_GB2312" w:eastAsia="仿宋_GB2312"/>
          <w:sz w:val="32"/>
          <w:highlight w:val="none"/>
        </w:rPr>
        <w:t>资金拨付。</w:t>
      </w:r>
    </w:p>
    <w:p>
      <w:pPr>
        <w:snapToGrid w:val="0"/>
        <w:spacing w:line="560" w:lineRule="exact"/>
        <w:ind w:firstLine="642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（二）注意事项</w:t>
      </w:r>
    </w:p>
    <w:p>
      <w:pPr>
        <w:numPr>
          <w:ilvl w:val="0"/>
          <w:numId w:val="0"/>
        </w:numPr>
        <w:snapToGrid w:val="0"/>
        <w:spacing w:before="0" w:beforeAutospacing="0" w:after="0" w:afterAutospacing="0" w:line="560" w:lineRule="exact"/>
        <w:ind w:firstLine="640" w:firstLineChars="200"/>
        <w:jc w:val="left"/>
        <w:rPr>
          <w:rFonts w:hint="eastAsia" w:ascii="仿宋_GB2312" w:hAnsi="Calibri" w:eastAsia="仿宋_GB2312" w:cs="Times New Roman"/>
          <w:b w:val="0"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sz w:val="32"/>
          <w:szCs w:val="32"/>
        </w:rPr>
        <w:t>1．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</w:rPr>
        <w:t>申请人</w:t>
      </w:r>
      <w:r>
        <w:rPr>
          <w:rFonts w:hint="eastAsia" w:ascii="仿宋_GB2312" w:eastAsia="仿宋_GB2312"/>
          <w:b/>
          <w:bCs w:val="0"/>
          <w:sz w:val="32"/>
          <w:szCs w:val="32"/>
          <w:highlight w:val="none"/>
          <w:lang w:eastAsia="zh-CN"/>
        </w:rPr>
        <w:t>应为正常经营状态，并通过上述申报平台自行申报。</w:t>
      </w:r>
      <w:r>
        <w:rPr>
          <w:rFonts w:hint="eastAsia" w:ascii="仿宋_GB2312" w:hAnsi="Calibri" w:eastAsia="仿宋_GB2312" w:cs="Times New Roman"/>
          <w:b w:val="0"/>
          <w:sz w:val="32"/>
          <w:szCs w:val="32"/>
        </w:rPr>
        <w:t>严格按照申报系统有关提示进行填报。申请人名称与其银行开户名称必须完全一致，否则将影响资助申请审核结果及办理资金发放，相应后果由申请人自行承担。</w:t>
      </w:r>
    </w:p>
    <w:p>
      <w:pPr>
        <w:numPr>
          <w:ilvl w:val="0"/>
          <w:numId w:val="0"/>
        </w:numPr>
        <w:snapToGrid/>
        <w:spacing w:line="240" w:lineRule="auto"/>
        <w:ind w:firstLine="642" w:firstLineChars="0"/>
        <w:jc w:val="left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</w:t>
      </w:r>
      <w:r>
        <w:rPr>
          <w:rFonts w:hint="eastAsia" w:ascii="仿宋_GB2312" w:hAnsi="Calibri" w:eastAsia="仿宋_GB2312" w:cs="Times New Roman"/>
          <w:b w:val="0"/>
          <w:sz w:val="32"/>
          <w:szCs w:val="32"/>
        </w:rPr>
        <w:t>．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深圳</w:t>
      </w:r>
      <w:r>
        <w:rPr>
          <w:rFonts w:hint="eastAsia" w:ascii="仿宋_GB2312" w:hAnsi="Calibri" w:eastAsia="仿宋_GB2312" w:cs="Times New Roman"/>
          <w:sz w:val="32"/>
          <w:szCs w:val="32"/>
        </w:rPr>
        <w:t>市知识产权主管部门对申请材料进行受理和初审，申请材料不完善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仿宋_GB2312" w:hAnsi="Calibri" w:eastAsia="仿宋_GB2312" w:cs="Times New Roman"/>
          <w:sz w:val="32"/>
          <w:szCs w:val="32"/>
        </w:rPr>
        <w:t>，限期予以补正；申请人应按要求进行补正，未按要求补正材料或补正材料未通过审核的，不予资助或奖励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/>
        <w:spacing w:line="240" w:lineRule="auto"/>
        <w:ind w:firstLine="642" w:firstLineChars="0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 w:cs="Times New Roman"/>
          <w:sz w:val="32"/>
          <w:szCs w:val="32"/>
        </w:rPr>
        <w:t>申请人提交资助或奖励申请后，可通过申报系统自行查询办理进度状态，及时关注系统审批意见，根据系统提示信息及时办理有关手续。本资助申请事项不设短信、电话和邮件等形式的通知推送。</w:t>
      </w:r>
    </w:p>
    <w:p>
      <w:pPr>
        <w:numPr>
          <w:ilvl w:val="0"/>
          <w:numId w:val="0"/>
        </w:numPr>
        <w:snapToGrid/>
        <w:spacing w:line="240" w:lineRule="auto"/>
        <w:ind w:firstLine="642" w:firstLineChars="0"/>
        <w:jc w:val="left"/>
        <w:rPr>
          <w:rFonts w:hint="eastAsia" w:ascii="仿宋_GB2312" w:hAnsi="Calibri" w:eastAsia="仿宋_GB2312" w:cs="Times New Roman"/>
          <w:b w:val="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Calibri" w:eastAsia="仿宋_GB2312" w:cs="Times New Roman"/>
          <w:sz w:val="32"/>
          <w:szCs w:val="32"/>
        </w:rPr>
        <w:t>本资助专项资金的发放时间将根据市财政预算具体规划而定，届时将另行通知办理领款手续，请按通知要求办理。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合规提示</w:t>
      </w:r>
    </w:p>
    <w:p>
      <w:pPr>
        <w:pStyle w:val="3"/>
        <w:numPr>
          <w:ilvl w:val="0"/>
          <w:numId w:val="3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</w:rPr>
      </w:pPr>
      <w:r>
        <w:rPr>
          <w:rFonts w:ascii="仿宋_GB2312" w:hAnsi="Calibri" w:eastAsia="仿宋_GB2312" w:cs="Times New Roman"/>
          <w:b w:val="0"/>
          <w:sz w:val="32"/>
          <w:szCs w:val="32"/>
          <w:highlight w:val="none"/>
        </w:rPr>
        <w:t>《深圳市市场监督管理局知识产权领域专项资金操作规程》第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  <w:lang w:eastAsia="zh-CN"/>
        </w:rPr>
        <w:t>三</w:t>
      </w:r>
      <w:r>
        <w:rPr>
          <w:rFonts w:ascii="仿宋_GB2312" w:hAnsi="Calibri" w:eastAsia="仿宋_GB2312" w:cs="Times New Roman"/>
          <w:b w:val="0"/>
          <w:sz w:val="32"/>
          <w:szCs w:val="32"/>
          <w:highlight w:val="none"/>
        </w:rPr>
        <w:t>十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  <w:lang w:eastAsia="zh-CN"/>
        </w:rPr>
        <w:t>七</w:t>
      </w:r>
      <w:r>
        <w:rPr>
          <w:rFonts w:ascii="仿宋_GB2312" w:hAnsi="Calibri" w:eastAsia="仿宋_GB2312" w:cs="Times New Roman"/>
          <w:b w:val="0"/>
          <w:sz w:val="32"/>
          <w:szCs w:val="32"/>
          <w:highlight w:val="none"/>
        </w:rPr>
        <w:t>条规定：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</w:rPr>
        <w:t>申请人应对提交的申请材料真实性、合法性、有效性负责。申请人利用虚假材料或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</w:rPr>
        <w:t>其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  <w:lang w:eastAsia="zh-CN"/>
        </w:rPr>
        <w:t>他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</w:rPr>
        <w:t>不正当行为骗取、套取、虚报、冒领、截留、挪用专项资金或者违反其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  <w:lang w:eastAsia="zh-CN"/>
        </w:rPr>
        <w:t>他</w:t>
      </w:r>
      <w:r>
        <w:rPr>
          <w:rFonts w:hint="eastAsia" w:ascii="仿宋_GB2312" w:hAnsi="Calibri" w:eastAsia="仿宋_GB2312" w:cs="Times New Roman"/>
          <w:b w:val="0"/>
          <w:sz w:val="32"/>
          <w:szCs w:val="32"/>
          <w:highlight w:val="none"/>
        </w:rPr>
        <w:t>财务纪律的，按照有关规定处理；情节严重的，依照国家相关法律、法规移交有关部门处理。</w:t>
      </w:r>
    </w:p>
    <w:p>
      <w:pPr>
        <w:pStyle w:val="3"/>
        <w:numPr>
          <w:ilvl w:val="0"/>
          <w:numId w:val="3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sz w:val="32"/>
          <w:szCs w:val="32"/>
          <w:highlight w:val="none"/>
        </w:rPr>
        <w:t>《深圳市市场监督管理局知识产权领域专项资金操作规程》第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十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八</w:t>
      </w:r>
      <w:r>
        <w:rPr>
          <w:rFonts w:ascii="仿宋_GB2312" w:eastAsia="仿宋_GB2312"/>
          <w:b w:val="0"/>
          <w:sz w:val="32"/>
          <w:szCs w:val="32"/>
          <w:highlight w:val="none"/>
        </w:rPr>
        <w:t>条规定：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受委托的第三方审计机构或专业机构在审计或核验过程中，存在弄虚作假、隐瞒事实真相或与受资助单位串通作弊并出具相关报告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情形的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，按照有关规定追究责任。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/>
          <w:b w:val="0"/>
          <w:sz w:val="32"/>
          <w:szCs w:val="32"/>
        </w:rPr>
        <w:t>（三）</w:t>
      </w:r>
      <w:r>
        <w:rPr>
          <w:rFonts w:hint="eastAsia" w:ascii="仿宋_GB2312" w:eastAsia="仿宋_GB2312"/>
          <w:b w:val="0"/>
          <w:sz w:val="32"/>
          <w:szCs w:val="32"/>
        </w:rPr>
        <w:t>《深圳市市场监督管理局知识产权领域专项资金操作规程》第三十九条规定：第三方中介机构不得违规代理本规程资助奖励项目申领事宜。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/>
        </w:rPr>
      </w:pPr>
      <w:r>
        <w:rPr>
          <w:rFonts w:hint="eastAsia" w:ascii="仿宋_GB2312" w:eastAsia="仿宋_GB2312"/>
          <w:b w:val="0"/>
          <w:sz w:val="32"/>
          <w:szCs w:val="32"/>
          <w:lang w:eastAsia="zh-CN"/>
        </w:rPr>
        <w:t>（四）</w:t>
      </w:r>
      <w:r>
        <w:rPr>
          <w:rFonts w:ascii="仿宋_GB2312" w:eastAsia="仿宋_GB2312"/>
          <w:b w:val="0"/>
          <w:sz w:val="32"/>
          <w:szCs w:val="32"/>
        </w:rPr>
        <w:t>根据上述规定，申请人申请资助时必须作出合规承诺（在申报系统中操作），否则不予受理。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收费情况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不收费。</w:t>
      </w:r>
    </w:p>
    <w:p>
      <w:pPr>
        <w:pStyle w:val="16"/>
        <w:numPr>
          <w:ilvl w:val="0"/>
          <w:numId w:val="1"/>
        </w:numPr>
        <w:snapToGrid w:val="0"/>
        <w:spacing w:line="560" w:lineRule="exact"/>
        <w:ind w:left="1361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年审或年检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无年审、年检。</w:t>
      </w:r>
    </w:p>
    <w:p>
      <w:pPr>
        <w:widowControl/>
        <w:snapToGrid w:val="0"/>
        <w:spacing w:beforeLines="0" w:line="440" w:lineRule="exact"/>
        <w:jc w:val="left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rPr>
        <w:lang w:val="zh-CN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83D1A"/>
    <w:multiLevelType w:val="singleLevel"/>
    <w:tmpl w:val="E1683D1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E81AF4"/>
    <w:multiLevelType w:val="multilevel"/>
    <w:tmpl w:val="03E81AF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ascii="黑体" w:hAnsi="黑体" w:eastAsia="黑体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9F64F8"/>
    <w:multiLevelType w:val="multilevel"/>
    <w:tmpl w:val="269F64F8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eastAsia" w:ascii="楷体_GB2312" w:eastAsia="楷体_GB2312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  <w:rPr>
        <w:rFonts w:hint="eastAsia" w:ascii="楷体_GB2312" w:eastAsia="楷体_GB2312"/>
        <w:b/>
      </w:rPr>
    </w:lvl>
    <w:lvl w:ilvl="4" w:tentative="0">
      <w:start w:val="1"/>
      <w:numFmt w:val="decimal"/>
      <w:lvlText w:val="（%5）"/>
      <w:lvlJc w:val="left"/>
      <w:pPr>
        <w:ind w:left="3403" w:hanging="1080"/>
      </w:pPr>
      <w:rPr>
        <w:rFonts w:hint="default"/>
        <w:lang w:val="en-US"/>
      </w:r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NzZiMDdkYTY0ZmRmMzBiOWIyYjRiNDY5NGVjYjcifQ=="/>
    <w:docVar w:name="KSO_WPS_MARK_KEY" w:val="eb142e03-6ad2-4d46-9fc2-aed09f033683"/>
  </w:docVars>
  <w:rsids>
    <w:rsidRoot w:val="303C3716"/>
    <w:rsid w:val="00093BFC"/>
    <w:rsid w:val="000D6AFA"/>
    <w:rsid w:val="000E339A"/>
    <w:rsid w:val="00114CE4"/>
    <w:rsid w:val="001215B3"/>
    <w:rsid w:val="0012255A"/>
    <w:rsid w:val="001501BC"/>
    <w:rsid w:val="00150517"/>
    <w:rsid w:val="001C037F"/>
    <w:rsid w:val="001C621F"/>
    <w:rsid w:val="001D6603"/>
    <w:rsid w:val="00235A49"/>
    <w:rsid w:val="00242477"/>
    <w:rsid w:val="00280A48"/>
    <w:rsid w:val="00292A22"/>
    <w:rsid w:val="002A61FE"/>
    <w:rsid w:val="002C264A"/>
    <w:rsid w:val="002E5A85"/>
    <w:rsid w:val="002F239C"/>
    <w:rsid w:val="002F5228"/>
    <w:rsid w:val="002F6363"/>
    <w:rsid w:val="00307DD3"/>
    <w:rsid w:val="00312128"/>
    <w:rsid w:val="00321345"/>
    <w:rsid w:val="003347DA"/>
    <w:rsid w:val="0034702C"/>
    <w:rsid w:val="003811D1"/>
    <w:rsid w:val="003859F9"/>
    <w:rsid w:val="0039130D"/>
    <w:rsid w:val="003A21BD"/>
    <w:rsid w:val="003B4E05"/>
    <w:rsid w:val="003C066F"/>
    <w:rsid w:val="00420EA1"/>
    <w:rsid w:val="00447BAC"/>
    <w:rsid w:val="004649A2"/>
    <w:rsid w:val="00470BBF"/>
    <w:rsid w:val="00471392"/>
    <w:rsid w:val="004920D0"/>
    <w:rsid w:val="00492249"/>
    <w:rsid w:val="00494F08"/>
    <w:rsid w:val="004D5860"/>
    <w:rsid w:val="00530529"/>
    <w:rsid w:val="00531E2F"/>
    <w:rsid w:val="0055487C"/>
    <w:rsid w:val="00566C01"/>
    <w:rsid w:val="00585AC2"/>
    <w:rsid w:val="00594157"/>
    <w:rsid w:val="005B66DA"/>
    <w:rsid w:val="005E71F2"/>
    <w:rsid w:val="005F0C56"/>
    <w:rsid w:val="005F45A6"/>
    <w:rsid w:val="00632D0B"/>
    <w:rsid w:val="00634337"/>
    <w:rsid w:val="00646253"/>
    <w:rsid w:val="00663281"/>
    <w:rsid w:val="00686501"/>
    <w:rsid w:val="006979D9"/>
    <w:rsid w:val="006C2A4B"/>
    <w:rsid w:val="006E17CC"/>
    <w:rsid w:val="00703C52"/>
    <w:rsid w:val="00731745"/>
    <w:rsid w:val="007660A5"/>
    <w:rsid w:val="007849BC"/>
    <w:rsid w:val="007B4669"/>
    <w:rsid w:val="007C6D7E"/>
    <w:rsid w:val="007D592F"/>
    <w:rsid w:val="0080254E"/>
    <w:rsid w:val="00803BEC"/>
    <w:rsid w:val="00804B30"/>
    <w:rsid w:val="008273B9"/>
    <w:rsid w:val="00834185"/>
    <w:rsid w:val="0085279F"/>
    <w:rsid w:val="00857A69"/>
    <w:rsid w:val="00886917"/>
    <w:rsid w:val="008871D0"/>
    <w:rsid w:val="00893849"/>
    <w:rsid w:val="008955FA"/>
    <w:rsid w:val="008B32B5"/>
    <w:rsid w:val="008B3A3F"/>
    <w:rsid w:val="008C42A1"/>
    <w:rsid w:val="008D79FB"/>
    <w:rsid w:val="008E38AE"/>
    <w:rsid w:val="00907EC9"/>
    <w:rsid w:val="0091297C"/>
    <w:rsid w:val="00940B80"/>
    <w:rsid w:val="009473BD"/>
    <w:rsid w:val="00953C36"/>
    <w:rsid w:val="00983D09"/>
    <w:rsid w:val="0098462C"/>
    <w:rsid w:val="009869D6"/>
    <w:rsid w:val="009A2E1B"/>
    <w:rsid w:val="009B31A9"/>
    <w:rsid w:val="009E0673"/>
    <w:rsid w:val="009E1CFD"/>
    <w:rsid w:val="00A03249"/>
    <w:rsid w:val="00A24F2C"/>
    <w:rsid w:val="00A4028E"/>
    <w:rsid w:val="00A4235D"/>
    <w:rsid w:val="00A44437"/>
    <w:rsid w:val="00A53B41"/>
    <w:rsid w:val="00A54FEB"/>
    <w:rsid w:val="00A57344"/>
    <w:rsid w:val="00A71C11"/>
    <w:rsid w:val="00A74F96"/>
    <w:rsid w:val="00A915BC"/>
    <w:rsid w:val="00AA6B56"/>
    <w:rsid w:val="00AE17D2"/>
    <w:rsid w:val="00AE765B"/>
    <w:rsid w:val="00B03CAC"/>
    <w:rsid w:val="00B37333"/>
    <w:rsid w:val="00B52FFD"/>
    <w:rsid w:val="00B60557"/>
    <w:rsid w:val="00B6434A"/>
    <w:rsid w:val="00BA0F93"/>
    <w:rsid w:val="00BA3D79"/>
    <w:rsid w:val="00BB3265"/>
    <w:rsid w:val="00BC3EA9"/>
    <w:rsid w:val="00BC6CC2"/>
    <w:rsid w:val="00BE7D66"/>
    <w:rsid w:val="00C128C2"/>
    <w:rsid w:val="00C14B97"/>
    <w:rsid w:val="00C214B2"/>
    <w:rsid w:val="00C31C7B"/>
    <w:rsid w:val="00C457A7"/>
    <w:rsid w:val="00C86EFD"/>
    <w:rsid w:val="00CA74B2"/>
    <w:rsid w:val="00CB6A5F"/>
    <w:rsid w:val="00CC34B5"/>
    <w:rsid w:val="00D00FFE"/>
    <w:rsid w:val="00D303FD"/>
    <w:rsid w:val="00D42C85"/>
    <w:rsid w:val="00D45EA8"/>
    <w:rsid w:val="00D57588"/>
    <w:rsid w:val="00D66F77"/>
    <w:rsid w:val="00D67A83"/>
    <w:rsid w:val="00D75F59"/>
    <w:rsid w:val="00D83C23"/>
    <w:rsid w:val="00D944CB"/>
    <w:rsid w:val="00DA3115"/>
    <w:rsid w:val="00DB0B7B"/>
    <w:rsid w:val="00DB79C3"/>
    <w:rsid w:val="00DC1675"/>
    <w:rsid w:val="00DE4EBD"/>
    <w:rsid w:val="00DF278D"/>
    <w:rsid w:val="00E15469"/>
    <w:rsid w:val="00E2151C"/>
    <w:rsid w:val="00E23582"/>
    <w:rsid w:val="00E37BC5"/>
    <w:rsid w:val="00E454F0"/>
    <w:rsid w:val="00E944CE"/>
    <w:rsid w:val="00EB6276"/>
    <w:rsid w:val="00EC3BDA"/>
    <w:rsid w:val="00EC41E1"/>
    <w:rsid w:val="00EC7B18"/>
    <w:rsid w:val="00F21DFC"/>
    <w:rsid w:val="00F21EDE"/>
    <w:rsid w:val="00F420F1"/>
    <w:rsid w:val="00FA231C"/>
    <w:rsid w:val="00FD5539"/>
    <w:rsid w:val="00FD73F4"/>
    <w:rsid w:val="00FF75B8"/>
    <w:rsid w:val="01B04CC0"/>
    <w:rsid w:val="021A19F4"/>
    <w:rsid w:val="02C27969"/>
    <w:rsid w:val="03902AB9"/>
    <w:rsid w:val="03AE1F3D"/>
    <w:rsid w:val="04383715"/>
    <w:rsid w:val="057228FE"/>
    <w:rsid w:val="06067E9E"/>
    <w:rsid w:val="062E3A05"/>
    <w:rsid w:val="06862971"/>
    <w:rsid w:val="06964A39"/>
    <w:rsid w:val="06EB0164"/>
    <w:rsid w:val="0741785D"/>
    <w:rsid w:val="07713AFE"/>
    <w:rsid w:val="07F341CA"/>
    <w:rsid w:val="08AC6809"/>
    <w:rsid w:val="08F25C54"/>
    <w:rsid w:val="09071E3A"/>
    <w:rsid w:val="095713ED"/>
    <w:rsid w:val="09DC2361"/>
    <w:rsid w:val="0ACE1020"/>
    <w:rsid w:val="0AD06799"/>
    <w:rsid w:val="0B5E7827"/>
    <w:rsid w:val="0B7B0855"/>
    <w:rsid w:val="0BCA5C14"/>
    <w:rsid w:val="0C46418F"/>
    <w:rsid w:val="0D646FD0"/>
    <w:rsid w:val="0D6D3E2C"/>
    <w:rsid w:val="0E0D1F34"/>
    <w:rsid w:val="0E1469C4"/>
    <w:rsid w:val="0E48771C"/>
    <w:rsid w:val="0E59270B"/>
    <w:rsid w:val="0E673FB5"/>
    <w:rsid w:val="0EE303C9"/>
    <w:rsid w:val="0EEA5BFB"/>
    <w:rsid w:val="0F5D3E52"/>
    <w:rsid w:val="0FAC4C5F"/>
    <w:rsid w:val="0FDC41D9"/>
    <w:rsid w:val="11BC62C4"/>
    <w:rsid w:val="124E521C"/>
    <w:rsid w:val="12D56DBB"/>
    <w:rsid w:val="12F73E27"/>
    <w:rsid w:val="136B4FBB"/>
    <w:rsid w:val="13FE4B4A"/>
    <w:rsid w:val="174F0CF1"/>
    <w:rsid w:val="185F24C7"/>
    <w:rsid w:val="19B72489"/>
    <w:rsid w:val="1A4E6304"/>
    <w:rsid w:val="1A5B1E1F"/>
    <w:rsid w:val="1B4031CA"/>
    <w:rsid w:val="1CFE1A45"/>
    <w:rsid w:val="1E281793"/>
    <w:rsid w:val="1E506CDD"/>
    <w:rsid w:val="1E5370D2"/>
    <w:rsid w:val="1F2F45C4"/>
    <w:rsid w:val="1FED2BEC"/>
    <w:rsid w:val="212457C5"/>
    <w:rsid w:val="2146217C"/>
    <w:rsid w:val="216E140E"/>
    <w:rsid w:val="21C662EA"/>
    <w:rsid w:val="2220695D"/>
    <w:rsid w:val="22DE117B"/>
    <w:rsid w:val="23D71F40"/>
    <w:rsid w:val="25D53064"/>
    <w:rsid w:val="26FFB9E4"/>
    <w:rsid w:val="2745076C"/>
    <w:rsid w:val="27F7E689"/>
    <w:rsid w:val="28B6471C"/>
    <w:rsid w:val="28BF7452"/>
    <w:rsid w:val="290D642E"/>
    <w:rsid w:val="2B46596C"/>
    <w:rsid w:val="2B693E6D"/>
    <w:rsid w:val="2CE4735D"/>
    <w:rsid w:val="2D121ED4"/>
    <w:rsid w:val="2D207AFF"/>
    <w:rsid w:val="2DF626E4"/>
    <w:rsid w:val="2E4B0A71"/>
    <w:rsid w:val="2FFB54F1"/>
    <w:rsid w:val="2FFC5FC9"/>
    <w:rsid w:val="303C3716"/>
    <w:rsid w:val="30BF1135"/>
    <w:rsid w:val="310212C5"/>
    <w:rsid w:val="316078DC"/>
    <w:rsid w:val="318F0210"/>
    <w:rsid w:val="319D204F"/>
    <w:rsid w:val="31B35E12"/>
    <w:rsid w:val="33E75E85"/>
    <w:rsid w:val="34057CA4"/>
    <w:rsid w:val="34D11446"/>
    <w:rsid w:val="35DD476F"/>
    <w:rsid w:val="35F9779C"/>
    <w:rsid w:val="36BC568D"/>
    <w:rsid w:val="3803673F"/>
    <w:rsid w:val="3A521AC7"/>
    <w:rsid w:val="3D6D08F7"/>
    <w:rsid w:val="3D8BBACF"/>
    <w:rsid w:val="3E464053"/>
    <w:rsid w:val="3FB39CF2"/>
    <w:rsid w:val="40217251"/>
    <w:rsid w:val="4074567F"/>
    <w:rsid w:val="40F06F8D"/>
    <w:rsid w:val="40FE75C5"/>
    <w:rsid w:val="41E45413"/>
    <w:rsid w:val="42385D6E"/>
    <w:rsid w:val="4287319D"/>
    <w:rsid w:val="440825EC"/>
    <w:rsid w:val="447F5C92"/>
    <w:rsid w:val="44D04802"/>
    <w:rsid w:val="45EA380F"/>
    <w:rsid w:val="466C2D04"/>
    <w:rsid w:val="46AC2FB7"/>
    <w:rsid w:val="47570B57"/>
    <w:rsid w:val="47AE53FB"/>
    <w:rsid w:val="47D625B3"/>
    <w:rsid w:val="48371BB5"/>
    <w:rsid w:val="486F5D2B"/>
    <w:rsid w:val="493901C1"/>
    <w:rsid w:val="495D248D"/>
    <w:rsid w:val="4AC6279B"/>
    <w:rsid w:val="4B34597C"/>
    <w:rsid w:val="4B8C6A4A"/>
    <w:rsid w:val="4C8D1104"/>
    <w:rsid w:val="4DC25600"/>
    <w:rsid w:val="4EDC035C"/>
    <w:rsid w:val="4F7827A1"/>
    <w:rsid w:val="4FB71914"/>
    <w:rsid w:val="5051069B"/>
    <w:rsid w:val="507C0B36"/>
    <w:rsid w:val="508F7686"/>
    <w:rsid w:val="50FF62F5"/>
    <w:rsid w:val="51FA4F9A"/>
    <w:rsid w:val="52175BE3"/>
    <w:rsid w:val="539574B0"/>
    <w:rsid w:val="542425E2"/>
    <w:rsid w:val="55265BB8"/>
    <w:rsid w:val="555C766B"/>
    <w:rsid w:val="564D5E8C"/>
    <w:rsid w:val="58094FB8"/>
    <w:rsid w:val="59C96E28"/>
    <w:rsid w:val="5A1153B7"/>
    <w:rsid w:val="5A9E5E42"/>
    <w:rsid w:val="5AB53F94"/>
    <w:rsid w:val="5B3F1D22"/>
    <w:rsid w:val="5C535134"/>
    <w:rsid w:val="5CFD18A7"/>
    <w:rsid w:val="5E3318CC"/>
    <w:rsid w:val="5EAE6A0A"/>
    <w:rsid w:val="5EF0316A"/>
    <w:rsid w:val="5F145069"/>
    <w:rsid w:val="5F6FBCBB"/>
    <w:rsid w:val="5FB037D6"/>
    <w:rsid w:val="5FCC5B82"/>
    <w:rsid w:val="5FEF7F90"/>
    <w:rsid w:val="5FFF9DD4"/>
    <w:rsid w:val="60462C90"/>
    <w:rsid w:val="6224340B"/>
    <w:rsid w:val="62420E66"/>
    <w:rsid w:val="62F25AFF"/>
    <w:rsid w:val="647F14A2"/>
    <w:rsid w:val="65271A92"/>
    <w:rsid w:val="661C78EE"/>
    <w:rsid w:val="67725AD4"/>
    <w:rsid w:val="68333BEB"/>
    <w:rsid w:val="6A7F025E"/>
    <w:rsid w:val="6BCD5A19"/>
    <w:rsid w:val="6CA81596"/>
    <w:rsid w:val="6DA92A14"/>
    <w:rsid w:val="6EF014DA"/>
    <w:rsid w:val="6F190F9A"/>
    <w:rsid w:val="6F1A286B"/>
    <w:rsid w:val="6FBB5AF4"/>
    <w:rsid w:val="70FD7FEB"/>
    <w:rsid w:val="71BC5E12"/>
    <w:rsid w:val="71E371B8"/>
    <w:rsid w:val="72291197"/>
    <w:rsid w:val="72622208"/>
    <w:rsid w:val="73592D8E"/>
    <w:rsid w:val="739DA33B"/>
    <w:rsid w:val="73A23F1F"/>
    <w:rsid w:val="75742438"/>
    <w:rsid w:val="75C77309"/>
    <w:rsid w:val="75E05FD5"/>
    <w:rsid w:val="762C5158"/>
    <w:rsid w:val="76C577FD"/>
    <w:rsid w:val="770A6DC4"/>
    <w:rsid w:val="795A5997"/>
    <w:rsid w:val="7A054466"/>
    <w:rsid w:val="7B6A4641"/>
    <w:rsid w:val="7B9B0485"/>
    <w:rsid w:val="7C1FE486"/>
    <w:rsid w:val="7C955FF2"/>
    <w:rsid w:val="7CB99422"/>
    <w:rsid w:val="7D462B6D"/>
    <w:rsid w:val="7DDFA39B"/>
    <w:rsid w:val="7E7659BA"/>
    <w:rsid w:val="7E7B6E21"/>
    <w:rsid w:val="7EAF2C9B"/>
    <w:rsid w:val="7F37E8A8"/>
    <w:rsid w:val="7F3B50BA"/>
    <w:rsid w:val="7F7F7057"/>
    <w:rsid w:val="7FBF6C6D"/>
    <w:rsid w:val="7FFE183F"/>
    <w:rsid w:val="977FC746"/>
    <w:rsid w:val="A23B4962"/>
    <w:rsid w:val="B77F5298"/>
    <w:rsid w:val="B7F2E17B"/>
    <w:rsid w:val="BF74F61B"/>
    <w:rsid w:val="BF9F49D5"/>
    <w:rsid w:val="BFA6CD68"/>
    <w:rsid w:val="BFFF0792"/>
    <w:rsid w:val="D5EF8BC2"/>
    <w:rsid w:val="DBF70D09"/>
    <w:rsid w:val="EBBF9D06"/>
    <w:rsid w:val="EF3E8AFD"/>
    <w:rsid w:val="EF5F2775"/>
    <w:rsid w:val="F2FF0020"/>
    <w:rsid w:val="F7DE178D"/>
    <w:rsid w:val="FBBF6233"/>
    <w:rsid w:val="FBFA2B34"/>
    <w:rsid w:val="FCBD6C6E"/>
    <w:rsid w:val="FCDB96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楷体" w:cs="Times New Roman"/>
      <w:b/>
      <w:kern w:val="0"/>
      <w:szCs w:val="36"/>
      <w:lang w:bidi="ar"/>
    </w:rPr>
  </w:style>
  <w:style w:type="paragraph" w:styleId="3">
    <w:name w:val="heading 3"/>
    <w:basedOn w:val="1"/>
    <w:next w:val="1"/>
    <w:link w:val="12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0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标题 3 Char"/>
    <w:basedOn w:val="10"/>
    <w:link w:val="3"/>
    <w:qFormat/>
    <w:uiPriority w:val="0"/>
    <w:rPr>
      <w:rFonts w:ascii="宋体" w:hAnsi="宋体"/>
      <w:b/>
      <w:kern w:val="2"/>
      <w:sz w:val="27"/>
    </w:rPr>
  </w:style>
  <w:style w:type="character" w:customStyle="1" w:styleId="13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10"/>
    <w:link w:val="7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6</Pages>
  <Words>3573</Words>
  <Characters>3924</Characters>
  <Lines>45</Lines>
  <Paragraphs>12</Paragraphs>
  <TotalTime>0</TotalTime>
  <ScaleCrop>false</ScaleCrop>
  <LinksUpToDate>false</LinksUpToDate>
  <CharactersWithSpaces>4067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2021-04-19T23:21:00Z</dcterms:created>
  <dc:creator>刘妍彤</dc:creator>
  <cp:lastModifiedBy>WANGQW</cp:lastModifiedBy>
  <cp:lastPrinted>2021-04-19T02:03:00Z</cp:lastPrinted>
  <dcterms:modified xsi:type="dcterms:W3CDTF">2024-05-14T16:12:36Z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BC03149A67365EB8290A4366C1C8E851</vt:lpwstr>
  </property>
</Properties>
</file>