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val="0"/>
        <w:spacing w:before="313" w:beforeLines="100" w:beforeAutospacing="0" w:after="0" w:afterAutospacing="0" w:line="560" w:lineRule="exact"/>
        <w:ind w:firstLine="420"/>
        <w:jc w:val="center"/>
        <w:textAlignment w:val="auto"/>
        <w:rPr>
          <w:rFonts w:hint="eastAsia" w:ascii="方正小标宋简体" w:hAnsi="华文中宋" w:eastAsia="方正小标宋简体" w:cs="黑体"/>
          <w:b w:val="0"/>
          <w:bCs w:val="0"/>
          <w:sz w:val="44"/>
          <w:szCs w:val="44"/>
          <w:lang w:eastAsia="zh-CN"/>
        </w:rPr>
      </w:pPr>
      <w:bookmarkStart w:id="0" w:name="_GoBack"/>
      <w:bookmarkEnd w:id="0"/>
      <w:r>
        <w:rPr>
          <w:rFonts w:ascii="方正小标宋简体" w:hAnsi="华文中宋" w:eastAsia="方正小标宋简体" w:cs="黑体"/>
          <w:b w:val="0"/>
          <w:bCs/>
          <w:sz w:val="44"/>
          <w:szCs w:val="44"/>
        </w:rPr>
        <w:t>202</w:t>
      </w:r>
      <w:r>
        <w:rPr>
          <w:rFonts w:hint="eastAsia" w:ascii="方正小标宋简体" w:hAnsi="华文中宋" w:eastAsia="方正小标宋简体" w:cs="黑体"/>
          <w:b w:val="0"/>
          <w:bCs/>
          <w:sz w:val="44"/>
          <w:szCs w:val="44"/>
          <w:lang w:val="en-US" w:eastAsia="zh-CN"/>
        </w:rPr>
        <w:t>4</w:t>
      </w:r>
      <w:r>
        <w:rPr>
          <w:rFonts w:ascii="方正小标宋简体" w:hAnsi="华文中宋" w:eastAsia="方正小标宋简体" w:cs="黑体"/>
          <w:b w:val="0"/>
          <w:bCs/>
          <w:sz w:val="44"/>
          <w:szCs w:val="44"/>
        </w:rPr>
        <w:t>年</w:t>
      </w:r>
      <w:r>
        <w:rPr>
          <w:rFonts w:hint="eastAsia" w:ascii="方正小标宋简体" w:hAnsi="华文中宋" w:eastAsia="方正小标宋简体" w:cs="黑体"/>
          <w:b w:val="0"/>
          <w:bCs/>
          <w:sz w:val="44"/>
          <w:szCs w:val="44"/>
          <w:lang w:eastAsia="zh-CN"/>
        </w:rPr>
        <w:t>度</w:t>
      </w:r>
      <w:r>
        <w:rPr>
          <w:rFonts w:hint="eastAsia" w:ascii="方正小标宋简体" w:hAnsi="华文中宋" w:eastAsia="方正小标宋简体" w:cs="黑体"/>
          <w:b w:val="0"/>
          <w:bCs w:val="0"/>
          <w:sz w:val="44"/>
          <w:szCs w:val="44"/>
          <w:lang w:eastAsia="zh-CN"/>
        </w:rPr>
        <w:t>产业知识产权联盟资助项目</w:t>
      </w:r>
    </w:p>
    <w:p>
      <w:pPr>
        <w:pStyle w:val="3"/>
        <w:keepNext w:val="0"/>
        <w:keepLines w:val="0"/>
        <w:pageBreakBefore w:val="0"/>
        <w:widowControl/>
        <w:kinsoku/>
        <w:wordWrap/>
        <w:overflowPunct/>
        <w:topLinePunct w:val="0"/>
        <w:autoSpaceDE/>
        <w:autoSpaceDN/>
        <w:bidi w:val="0"/>
        <w:adjustRightInd/>
        <w:snapToGrid w:val="0"/>
        <w:spacing w:before="0" w:beforeAutospacing="0" w:after="157" w:afterLines="50" w:afterAutospacing="0" w:line="560" w:lineRule="exact"/>
        <w:ind w:firstLine="420"/>
        <w:jc w:val="center"/>
        <w:textAlignment w:val="auto"/>
        <w:rPr>
          <w:rFonts w:hint="eastAsia" w:ascii="方正小标宋简体" w:hAnsi="华文中宋" w:eastAsia="方正小标宋简体" w:cs="黑体"/>
          <w:b w:val="0"/>
          <w:bCs/>
          <w:sz w:val="44"/>
          <w:szCs w:val="44"/>
          <w:lang w:eastAsia="zh-CN"/>
        </w:rPr>
      </w:pPr>
      <w:r>
        <w:rPr>
          <w:rFonts w:hint="default" w:ascii="方正小标宋简体" w:hAnsi="华文中宋" w:eastAsia="方正小标宋简体" w:cs="黑体"/>
          <w:b w:val="0"/>
          <w:bCs w:val="0"/>
          <w:sz w:val="44"/>
          <w:szCs w:val="44"/>
        </w:rPr>
        <w:t>申报指南</w:t>
      </w:r>
    </w:p>
    <w:p>
      <w:pPr>
        <w:pStyle w:val="1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申报内容</w:t>
      </w:r>
    </w:p>
    <w:p>
      <w:pPr>
        <w:numPr>
          <w:ilvl w:val="0"/>
          <w:numId w:val="0"/>
        </w:numPr>
        <w:snapToGrid w:val="0"/>
        <w:spacing w:line="56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度</w:t>
      </w:r>
      <w:r>
        <w:rPr>
          <w:rFonts w:hint="eastAsia" w:ascii="仿宋_GB2312" w:hAnsi="仿宋_GB2312" w:eastAsia="仿宋_GB2312" w:cs="仿宋_GB2312"/>
          <w:sz w:val="32"/>
          <w:szCs w:val="32"/>
          <w:highlight w:val="none"/>
        </w:rPr>
        <w:t>产业知识产权联盟资助</w:t>
      </w:r>
      <w:r>
        <w:rPr>
          <w:rFonts w:hint="eastAsia" w:ascii="仿宋_GB2312" w:eastAsia="仿宋_GB2312"/>
          <w:sz w:val="32"/>
          <w:szCs w:val="32"/>
          <w:highlight w:val="none"/>
          <w:lang w:eastAsia="zh-CN"/>
        </w:rPr>
        <w:t>项目</w:t>
      </w:r>
      <w:r>
        <w:rPr>
          <w:rFonts w:hint="eastAsia" w:ascii="仿宋_GB2312" w:eastAsia="仿宋_GB2312"/>
          <w:sz w:val="32"/>
          <w:szCs w:val="32"/>
          <w:highlight w:val="none"/>
        </w:rPr>
        <w:t>。</w:t>
      </w:r>
    </w:p>
    <w:p>
      <w:pPr>
        <w:pStyle w:val="16"/>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设定依据</w:t>
      </w:r>
    </w:p>
    <w:p>
      <w:pPr>
        <w:numPr>
          <w:ilvl w:val="0"/>
          <w:numId w:val="0"/>
        </w:num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（一）《深圳市市场监督管理局专项资金管理办法》</w:t>
      </w:r>
      <w:r>
        <w:rPr>
          <w:rFonts w:hint="default" w:ascii="仿宋_GB2312" w:eastAsia="仿宋_GB2312"/>
          <w:sz w:val="32"/>
          <w:szCs w:val="32"/>
          <w:highlight w:val="none"/>
        </w:rPr>
        <w:t>(</w:t>
      </w:r>
      <w:r>
        <w:rPr>
          <w:rFonts w:hint="eastAsia" w:ascii="仿宋_GB2312" w:eastAsia="仿宋_GB2312"/>
          <w:sz w:val="32"/>
          <w:szCs w:val="32"/>
          <w:highlight w:val="none"/>
        </w:rPr>
        <w:t>深市监规〔2020〕3号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tabs>
          <w:tab w:val="left" w:pos="5250"/>
        </w:tabs>
        <w:snapToGrid w:val="0"/>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（二）《深圳市市场监督管理局知识产权领域专项资金操作规程》</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pStyle w:val="1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资助</w:t>
      </w:r>
      <w:r>
        <w:rPr>
          <w:rFonts w:hint="eastAsia" w:ascii="黑体" w:hAnsi="黑体" w:eastAsia="黑体"/>
          <w:sz w:val="32"/>
          <w:szCs w:val="32"/>
          <w:lang w:eastAsia="zh-CN"/>
        </w:rPr>
        <w:t>标准</w:t>
      </w:r>
      <w:r>
        <w:rPr>
          <w:rFonts w:ascii="黑体" w:hAnsi="黑体" w:eastAsia="黑体"/>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对于已向广东省知识产权主管部门备案并符合深圳市产业政策导向的产业知识产权联盟给予资助，每年评选不超过3项，参考上年度实际支出成本每项资助不超过50万元。</w:t>
      </w:r>
    </w:p>
    <w:p>
      <w:pPr>
        <w:pStyle w:val="1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申请条件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sz w:val="32"/>
          <w:szCs w:val="32"/>
        </w:rPr>
        <w:t>申请人应当同时符合下列条件：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（一）申请人为联盟秘书单位或者发起单位，且为依法登记注册的企事业单位、社会组织或其他机构；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仿宋_GB2312" w:hAnsi="仿宋_GB2312" w:eastAsia="仿宋_GB2312" w:cs="仿宋_GB2312"/>
          <w:b w:val="0"/>
          <w:bCs w:val="0"/>
          <w:color w:val="auto"/>
          <w:sz w:val="32"/>
          <w:szCs w:val="32"/>
          <w:lang w:eastAsia="zh-CN"/>
        </w:rPr>
        <w:t>联盟</w:t>
      </w:r>
      <w:r>
        <w:rPr>
          <w:rFonts w:hint="eastAsia" w:ascii="仿宋_GB2312" w:hAnsi="仿宋_GB2312" w:eastAsia="仿宋_GB2312" w:cs="仿宋_GB2312"/>
          <w:b w:val="0"/>
          <w:bCs w:val="0"/>
          <w:color w:val="auto"/>
          <w:sz w:val="32"/>
          <w:szCs w:val="32"/>
        </w:rPr>
        <w:t>所属行业属于《深圳市人民政府关于发展壮大战略性新兴产业集群和培育发展未来产业的意见》</w:t>
      </w:r>
      <w:r>
        <w:rPr>
          <w:rFonts w:hint="default"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深府〔</w:t>
      </w:r>
      <w:r>
        <w:rPr>
          <w:rFonts w:hint="eastAsia" w:ascii="仿宋_GB2312" w:hAnsi="仿宋_GB2312" w:eastAsia="仿宋_GB2312" w:cs="仿宋_GB2312"/>
          <w:b w:val="0"/>
          <w:bCs w:val="0"/>
          <w:color w:val="auto"/>
          <w:sz w:val="32"/>
          <w:szCs w:val="32"/>
          <w:lang w:val="en-US" w:eastAsia="zh-CN"/>
        </w:rPr>
        <w:t>2022</w:t>
      </w:r>
      <w:r>
        <w:rPr>
          <w:rFonts w:hint="eastAsia" w:ascii="仿宋_GB2312" w:hAnsi="仿宋_GB2312" w:eastAsia="仿宋_GB2312" w:cs="仿宋_GB2312"/>
          <w:b w:val="0"/>
          <w:bCs w:val="0"/>
          <w:color w:val="auto"/>
          <w:sz w:val="32"/>
          <w:szCs w:val="32"/>
        </w:rPr>
        <w:t>〕1号</w:t>
      </w:r>
      <w:r>
        <w:rPr>
          <w:rFonts w:hint="default"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列出的20个战略性新兴产业</w:t>
      </w:r>
      <w:r>
        <w:rPr>
          <w:rFonts w:hint="eastAsia" w:ascii="仿宋_GB2312" w:hAnsi="仿宋_GB2312" w:eastAsia="仿宋_GB2312" w:cs="仿宋_GB2312"/>
          <w:b w:val="0"/>
          <w:bCs w:val="0"/>
          <w:color w:val="auto"/>
          <w:sz w:val="32"/>
          <w:szCs w:val="32"/>
          <w:lang w:eastAsia="zh-CN"/>
        </w:rPr>
        <w:t>重点细分领域</w:t>
      </w:r>
      <w:r>
        <w:rPr>
          <w:rFonts w:hint="eastAsia" w:ascii="仿宋_GB2312" w:hAnsi="仿宋_GB2312" w:eastAsia="仿宋_GB2312" w:cs="仿宋_GB2312"/>
          <w:b w:val="0"/>
          <w:bCs w:val="0"/>
          <w:color w:val="auto"/>
          <w:sz w:val="32"/>
          <w:szCs w:val="32"/>
        </w:rPr>
        <w:t>和8个未来产业</w:t>
      </w:r>
      <w:r>
        <w:rPr>
          <w:rFonts w:hint="eastAsia" w:ascii="仿宋_GB2312" w:hAnsi="仿宋_GB2312" w:eastAsia="仿宋_GB2312" w:cs="仿宋_GB2312"/>
          <w:b w:val="0"/>
          <w:bCs w:val="0"/>
          <w:color w:val="auto"/>
          <w:sz w:val="32"/>
          <w:szCs w:val="32"/>
          <w:lang w:eastAsia="zh-CN"/>
        </w:rPr>
        <w:t>重点发展方向，或</w:t>
      </w:r>
      <w:r>
        <w:rPr>
          <w:rFonts w:hint="eastAsia" w:ascii="仿宋_GB2312" w:hAnsi="Calibri" w:eastAsia="仿宋_GB2312" w:cs="Times New Roman"/>
          <w:b w:val="0"/>
          <w:bCs w:val="0"/>
          <w:color w:val="auto"/>
          <w:sz w:val="32"/>
          <w:szCs w:val="32"/>
        </w:rPr>
        <w:t>深圳市政府</w:t>
      </w:r>
      <w:r>
        <w:rPr>
          <w:rFonts w:hint="eastAsia" w:ascii="仿宋_GB2312" w:hAnsi="Calibri" w:eastAsia="仿宋_GB2312" w:cs="Times New Roman"/>
          <w:b w:val="0"/>
          <w:bCs w:val="0"/>
          <w:color w:val="auto"/>
          <w:sz w:val="32"/>
          <w:szCs w:val="32"/>
          <w:lang w:eastAsia="zh-CN"/>
        </w:rPr>
        <w:t>其他</w:t>
      </w:r>
      <w:r>
        <w:rPr>
          <w:rFonts w:hint="eastAsia" w:ascii="仿宋_GB2312" w:hAnsi="Calibri" w:eastAsia="仿宋_GB2312" w:cs="Times New Roman"/>
          <w:b w:val="0"/>
          <w:bCs w:val="0"/>
          <w:color w:val="auto"/>
          <w:sz w:val="32"/>
          <w:szCs w:val="32"/>
        </w:rPr>
        <w:t>重点规划</w:t>
      </w:r>
      <w:r>
        <w:rPr>
          <w:rFonts w:hint="eastAsia" w:ascii="仿宋_GB2312" w:hAnsi="Calibri" w:eastAsia="仿宋_GB2312" w:cs="Times New Roman"/>
          <w:b w:val="0"/>
          <w:bCs w:val="0"/>
          <w:color w:val="auto"/>
          <w:sz w:val="32"/>
          <w:szCs w:val="32"/>
          <w:lang w:eastAsia="zh-CN"/>
        </w:rPr>
        <w:t>发展方向</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（三）联盟已向</w:t>
      </w:r>
      <w:r>
        <w:rPr>
          <w:rFonts w:hint="eastAsia" w:ascii="仿宋_GB2312" w:hAnsi="仿宋_GB2312" w:eastAsia="仿宋_GB2312" w:cs="仿宋_GB2312"/>
          <w:b w:val="0"/>
          <w:bCs w:val="0"/>
          <w:color w:val="auto"/>
          <w:sz w:val="32"/>
          <w:szCs w:val="32"/>
          <w:lang w:eastAsia="zh-CN"/>
        </w:rPr>
        <w:t>广东省</w:t>
      </w:r>
      <w:r>
        <w:rPr>
          <w:rFonts w:hint="eastAsia" w:ascii="仿宋_GB2312" w:hAnsi="仿宋_GB2312" w:eastAsia="仿宋_GB2312" w:cs="仿宋_GB2312"/>
          <w:b w:val="0"/>
          <w:bCs w:val="0"/>
          <w:color w:val="auto"/>
          <w:sz w:val="32"/>
          <w:szCs w:val="32"/>
        </w:rPr>
        <w:t>知识产权主管部门备案；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w:t>
      </w:r>
      <w:r>
        <w:rPr>
          <w:rFonts w:hint="eastAsia" w:ascii="仿宋_GB2312" w:hAnsi="仿宋_GB2312" w:eastAsia="仿宋_GB2312" w:cs="仿宋_GB2312"/>
          <w:b w:val="0"/>
          <w:bCs w:val="0"/>
          <w:color w:val="auto"/>
          <w:sz w:val="32"/>
          <w:szCs w:val="32"/>
          <w:lang w:eastAsia="zh-CN"/>
        </w:rPr>
        <w:t>联盟</w:t>
      </w:r>
      <w:r>
        <w:rPr>
          <w:rFonts w:hint="eastAsia" w:ascii="仿宋_GB2312" w:hAnsi="仿宋_GB2312" w:eastAsia="仿宋_GB2312" w:cs="仿宋_GB2312"/>
          <w:b w:val="0"/>
          <w:bCs w:val="0"/>
          <w:color w:val="auto"/>
          <w:sz w:val="32"/>
          <w:szCs w:val="32"/>
        </w:rPr>
        <w:t>近3年内未获得过本条规定的资助；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联盟成员单位</w:t>
      </w:r>
      <w:r>
        <w:rPr>
          <w:rFonts w:hint="eastAsia" w:ascii="仿宋_GB2312" w:hAnsi="仿宋_GB2312" w:eastAsia="仿宋_GB2312" w:cs="仿宋_GB2312"/>
          <w:b w:val="0"/>
          <w:bCs w:val="0"/>
          <w:color w:val="auto"/>
          <w:sz w:val="32"/>
          <w:szCs w:val="32"/>
          <w:lang w:eastAsia="zh-CN"/>
        </w:rPr>
        <w:t>上年度</w:t>
      </w:r>
      <w:r>
        <w:rPr>
          <w:rFonts w:hint="default" w:ascii="仿宋_GB2312" w:hAnsi="仿宋_GB2312" w:eastAsia="仿宋_GB2312" w:cs="仿宋_GB2312"/>
          <w:b w:val="0"/>
          <w:bCs w:val="0"/>
          <w:color w:val="auto"/>
          <w:sz w:val="32"/>
          <w:szCs w:val="32"/>
        </w:rPr>
        <w:t>知识产权创造成果显著</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六</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联盟上年度</w:t>
      </w:r>
      <w:r>
        <w:rPr>
          <w:rFonts w:hint="eastAsia" w:ascii="仿宋_GB2312" w:hAnsi="仿宋_GB2312" w:eastAsia="仿宋_GB2312" w:cs="仿宋_GB2312"/>
          <w:b w:val="0"/>
          <w:bCs w:val="0"/>
          <w:color w:val="auto"/>
          <w:sz w:val="32"/>
          <w:szCs w:val="32"/>
        </w:rPr>
        <w:t>开展了知识产权数据库建设、专利池组建、知识产权许可转让或知识产权预警分析、知识产权维权等知识产权相关工作，对深圳市产业发展作出积极贡献。</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rPr>
        <w:t>以开展专利转化运用、知识产权预警分析工作申请资助的，同一事项不可与专利转化运用、专利导航同类项目资助重复申报。以开展知识产权维权工作申请资助的，同一事项不可与知识产权</w:t>
      </w:r>
      <w:r>
        <w:rPr>
          <w:rFonts w:hint="eastAsia" w:ascii="仿宋_GB2312" w:hAnsi="仿宋_GB2312" w:eastAsia="仿宋_GB2312" w:cs="仿宋_GB2312"/>
          <w:b w:val="0"/>
          <w:bCs w:val="0"/>
          <w:color w:val="auto"/>
          <w:sz w:val="32"/>
          <w:szCs w:val="32"/>
          <w:lang w:eastAsia="zh-CN"/>
        </w:rPr>
        <w:t>国内</w:t>
      </w:r>
      <w:r>
        <w:rPr>
          <w:rFonts w:hint="eastAsia" w:ascii="仿宋_GB2312" w:hAnsi="仿宋_GB2312" w:eastAsia="仿宋_GB2312" w:cs="仿宋_GB2312"/>
          <w:b w:val="0"/>
          <w:bCs w:val="0"/>
          <w:color w:val="auto"/>
          <w:sz w:val="32"/>
          <w:szCs w:val="32"/>
        </w:rPr>
        <w:t>维权能力提升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知识产权海外维权能力提升同类项目资助重复申报。</w:t>
      </w:r>
    </w:p>
    <w:p>
      <w:pPr>
        <w:pStyle w:val="1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）所申请项目已经获得市级同类资助或者奖励的；</w:t>
      </w:r>
    </w:p>
    <w:p>
      <w:pPr>
        <w:adjustRightInd w:val="0"/>
        <w:snapToGrid w:val="0"/>
        <w:spacing w:line="600" w:lineRule="exact"/>
        <w:ind w:firstLine="640" w:firstLineChars="200"/>
        <w:rPr>
          <w:rFonts w:ascii="仿宋_GB2312" w:eastAsia="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）申请人主体已经消亡，或者进入破产清算程序的。</w:t>
      </w:r>
    </w:p>
    <w:p>
      <w:pPr>
        <w:pStyle w:val="16"/>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申请材料</w:t>
      </w:r>
    </w:p>
    <w:p>
      <w:pPr>
        <w:pStyle w:val="16"/>
        <w:numPr>
          <w:ilvl w:val="0"/>
          <w:numId w:val="2"/>
        </w:numPr>
        <w:snapToGrid w:val="0"/>
        <w:spacing w:line="560" w:lineRule="exact"/>
        <w:ind w:left="0" w:firstLine="643"/>
        <w:jc w:val="left"/>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申请表</w:t>
      </w:r>
    </w:p>
    <w:p>
      <w:p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在申报系统上在线填写项目申报信息。</w:t>
      </w:r>
    </w:p>
    <w:p>
      <w:pPr>
        <w:pStyle w:val="16"/>
        <w:numPr>
          <w:ilvl w:val="0"/>
          <w:numId w:val="2"/>
        </w:numPr>
        <w:snapToGrid w:val="0"/>
        <w:spacing w:line="560" w:lineRule="exact"/>
        <w:ind w:left="0" w:firstLine="643"/>
        <w:jc w:val="left"/>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联盟备案</w:t>
      </w:r>
      <w:r>
        <w:rPr>
          <w:rFonts w:hint="eastAsia" w:ascii="楷体_GB2312" w:hAnsi="楷体_GB2312" w:eastAsia="楷体_GB2312" w:cs="楷体_GB2312"/>
          <w:b/>
          <w:bCs/>
          <w:sz w:val="32"/>
          <w:szCs w:val="32"/>
          <w:highlight w:val="none"/>
          <w:lang w:val="en-US" w:eastAsia="zh-CN"/>
        </w:rPr>
        <w:t>相关材料</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提交产业知识产权联盟已向广东省知识产权主管部门备案的</w:t>
      </w:r>
      <w:r>
        <w:rPr>
          <w:rFonts w:hint="default" w:ascii="仿宋_GB2312" w:eastAsia="仿宋_GB2312"/>
          <w:sz w:val="32"/>
          <w:szCs w:val="32"/>
          <w:highlight w:val="none"/>
          <w:lang w:eastAsia="zh-CN"/>
        </w:rPr>
        <w:t>备案申请书及联盟制度建设等</w:t>
      </w:r>
      <w:r>
        <w:rPr>
          <w:rFonts w:hint="eastAsia" w:ascii="仿宋_GB2312" w:eastAsia="仿宋_GB2312"/>
          <w:sz w:val="32"/>
          <w:szCs w:val="32"/>
          <w:highlight w:val="none"/>
          <w:lang w:val="en-US" w:eastAsia="zh-CN"/>
        </w:rPr>
        <w:t>相关文件。</w:t>
      </w:r>
    </w:p>
    <w:p>
      <w:pPr>
        <w:pStyle w:val="16"/>
        <w:numPr>
          <w:ilvl w:val="0"/>
          <w:numId w:val="2"/>
        </w:numPr>
        <w:snapToGrid w:val="0"/>
        <w:spacing w:line="560" w:lineRule="exact"/>
        <w:ind w:left="0" w:firstLine="643"/>
        <w:jc w:val="left"/>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联盟章程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提交知识产权联盟章程（应包含成员单位名单</w:t>
      </w:r>
      <w:r>
        <w:rPr>
          <w:rFonts w:hint="default" w:ascii="仿宋_GB2312" w:eastAsia="仿宋_GB2312"/>
          <w:sz w:val="32"/>
          <w:szCs w:val="32"/>
          <w:highlight w:val="none"/>
          <w:lang w:eastAsia="zh-CN"/>
        </w:rPr>
        <w:t>并加盖各成员单位公章</w:t>
      </w:r>
      <w:r>
        <w:rPr>
          <w:rFonts w:hint="eastAsia" w:ascii="仿宋_GB2312" w:eastAsia="仿宋_GB2312"/>
          <w:sz w:val="32"/>
          <w:szCs w:val="32"/>
          <w:highlight w:val="none"/>
          <w:lang w:val="en-US" w:eastAsia="zh-CN"/>
        </w:rPr>
        <w:t>）。</w:t>
      </w:r>
    </w:p>
    <w:p>
      <w:pPr>
        <w:pStyle w:val="16"/>
        <w:numPr>
          <w:ilvl w:val="0"/>
          <w:numId w:val="2"/>
        </w:numPr>
        <w:snapToGrid w:val="0"/>
        <w:spacing w:line="560" w:lineRule="exact"/>
        <w:ind w:left="0" w:firstLine="643"/>
        <w:jc w:val="left"/>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联盟成员单位相关专利证书、商标证书、著作权登记证书等知识产权权属材料</w:t>
      </w:r>
    </w:p>
    <w:p>
      <w:pPr>
        <w:numPr>
          <w:ilvl w:val="0"/>
          <w:numId w:val="0"/>
        </w:numPr>
        <w:snapToGrid w:val="0"/>
        <w:spacing w:line="560" w:lineRule="exact"/>
        <w:ind w:left="17" w:leftChars="8" w:firstLine="620" w:firstLineChars="194"/>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1．提交</w:t>
      </w:r>
      <w:r>
        <w:rPr>
          <w:rFonts w:hint="default" w:ascii="仿宋_GB2312" w:eastAsia="仿宋_GB2312"/>
          <w:sz w:val="32"/>
          <w:szCs w:val="32"/>
          <w:highlight w:val="none"/>
          <w:lang w:eastAsia="zh-CN"/>
        </w:rPr>
        <w:t>2023年度</w:t>
      </w:r>
      <w:r>
        <w:rPr>
          <w:rFonts w:hint="eastAsia" w:ascii="仿宋_GB2312" w:eastAsia="仿宋_GB2312"/>
          <w:sz w:val="32"/>
          <w:szCs w:val="32"/>
          <w:highlight w:val="none"/>
          <w:lang w:val="en-US" w:eastAsia="zh-CN"/>
        </w:rPr>
        <w:t>联盟成员单位知识产权清单（系统模板），并提供对应的成员单位专利证书、商标证书、著作权登记证书等知识产权权属佐证材料；</w:t>
      </w:r>
    </w:p>
    <w:p>
      <w:pPr>
        <w:numPr>
          <w:ilvl w:val="0"/>
          <w:numId w:val="0"/>
        </w:numPr>
        <w:snapToGrid w:val="0"/>
        <w:spacing w:line="560" w:lineRule="exact"/>
        <w:ind w:left="17" w:leftChars="8" w:firstLine="620" w:firstLineChars="194"/>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2．提交《关于专利证书、商标证书、著作权登记证书等相关佐证材料的申报声明》（系统模板）。</w:t>
      </w:r>
    </w:p>
    <w:p>
      <w:pPr>
        <w:pStyle w:val="16"/>
        <w:numPr>
          <w:ilvl w:val="0"/>
          <w:numId w:val="2"/>
        </w:numPr>
        <w:snapToGrid w:val="0"/>
        <w:spacing w:line="560" w:lineRule="exact"/>
        <w:ind w:left="0" w:firstLine="643"/>
        <w:jc w:val="left"/>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开展知识产权数据库建设、专利池组建、知识产权许可转让、知识产权预警分析、知识产权维权</w:t>
      </w:r>
      <w:r>
        <w:rPr>
          <w:rFonts w:hint="eastAsia" w:ascii="楷体_GB2312" w:hAnsi="楷体_GB2312" w:eastAsia="楷体_GB2312" w:cs="楷体_GB2312"/>
          <w:b/>
          <w:bCs/>
          <w:sz w:val="32"/>
          <w:szCs w:val="32"/>
          <w:highlight w:val="none"/>
          <w:lang w:eastAsia="zh-CN"/>
        </w:rPr>
        <w:t>等</w:t>
      </w:r>
      <w:r>
        <w:rPr>
          <w:rFonts w:hint="eastAsia" w:ascii="楷体_GB2312" w:hAnsi="楷体_GB2312" w:eastAsia="楷体_GB2312" w:cs="楷体_GB2312"/>
          <w:b/>
          <w:bCs/>
          <w:sz w:val="32"/>
          <w:szCs w:val="32"/>
          <w:highlight w:val="none"/>
        </w:rPr>
        <w:t>工作的</w:t>
      </w:r>
      <w:r>
        <w:rPr>
          <w:rFonts w:hint="eastAsia" w:ascii="楷体_GB2312" w:hAnsi="楷体_GB2312" w:eastAsia="楷体_GB2312" w:cs="楷体_GB2312"/>
          <w:b/>
          <w:bCs/>
          <w:sz w:val="32"/>
          <w:szCs w:val="32"/>
          <w:highlight w:val="none"/>
          <w:lang w:eastAsia="zh-CN"/>
        </w:rPr>
        <w:t>相关</w:t>
      </w:r>
      <w:r>
        <w:rPr>
          <w:rFonts w:hint="eastAsia" w:ascii="楷体_GB2312" w:hAnsi="楷体_GB2312" w:eastAsia="楷体_GB2312" w:cs="楷体_GB2312"/>
          <w:b/>
          <w:bCs/>
          <w:sz w:val="32"/>
          <w:szCs w:val="32"/>
          <w:highlight w:val="none"/>
        </w:rPr>
        <w:t>材料</w:t>
      </w:r>
    </w:p>
    <w:p>
      <w:pPr>
        <w:snapToGrid w:val="0"/>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2023年度开展了知识产权数据库建设、专利池组建、专利许可</w:t>
      </w:r>
      <w:r>
        <w:rPr>
          <w:rFonts w:hint="default" w:ascii="仿宋_GB2312" w:eastAsia="仿宋_GB2312"/>
          <w:sz w:val="32"/>
          <w:szCs w:val="32"/>
          <w:highlight w:val="none"/>
          <w:lang w:eastAsia="zh-CN"/>
        </w:rPr>
        <w:t>转让、知识产权</w:t>
      </w:r>
      <w:r>
        <w:rPr>
          <w:rFonts w:hint="eastAsia" w:ascii="仿宋_GB2312" w:eastAsia="仿宋_GB2312"/>
          <w:sz w:val="32"/>
          <w:szCs w:val="32"/>
          <w:highlight w:val="none"/>
          <w:lang w:val="en-US" w:eastAsia="zh-CN"/>
        </w:rPr>
        <w:t>预警分析、知识产权维权等工作内容的，提交开展工作的佐证材料，包括但不限于：产业知识产权联盟所属行业专利预警分析报告、专利许可交易谈判协议、专利转让合同、围绕产业链相关技术和专利开展搭建数据库或构建专利池等工作的佐证材料。</w:t>
      </w:r>
    </w:p>
    <w:p>
      <w:pPr>
        <w:numPr>
          <w:ilvl w:val="0"/>
          <w:numId w:val="0"/>
        </w:numPr>
        <w:snapToGrid w:val="0"/>
        <w:spacing w:line="560" w:lineRule="exact"/>
        <w:ind w:firstLine="640" w:firstLineChars="200"/>
        <w:rPr>
          <w:rFonts w:hint="eastAsia" w:ascii="楷体_GB2312" w:hAnsi="楷体_GB2312" w:eastAsia="楷体_GB2312" w:cs="楷体_GB2312"/>
          <w:b/>
          <w:bCs/>
          <w:sz w:val="32"/>
          <w:szCs w:val="32"/>
          <w:highlight w:val="none"/>
          <w:lang w:eastAsia="zh-CN"/>
        </w:rPr>
      </w:pPr>
      <w:r>
        <w:rPr>
          <w:rFonts w:hint="eastAsia" w:ascii="仿宋_GB2312" w:eastAsia="仿宋_GB2312"/>
          <w:sz w:val="32"/>
          <w:szCs w:val="32"/>
          <w:highlight w:val="none"/>
        </w:rPr>
        <w:t>以上第（一）至第（</w:t>
      </w:r>
      <w:r>
        <w:rPr>
          <w:rFonts w:hint="eastAsia" w:ascii="仿宋_GB2312" w:eastAsia="仿宋_GB2312"/>
          <w:sz w:val="32"/>
          <w:szCs w:val="32"/>
          <w:highlight w:val="none"/>
          <w:lang w:eastAsia="zh-CN"/>
        </w:rPr>
        <w:t>五</w:t>
      </w:r>
      <w:r>
        <w:rPr>
          <w:rFonts w:hint="eastAsia" w:ascii="仿宋_GB2312" w:eastAsia="仿宋_GB2312"/>
          <w:sz w:val="32"/>
          <w:szCs w:val="32"/>
          <w:highlight w:val="none"/>
        </w:rPr>
        <w:t>）项全部申请材料应当确保页面文字、公章、签名等实质性内容清晰可辨，各页面主要内容均为正向，不可横置或倒置。</w:t>
      </w:r>
    </w:p>
    <w:p>
      <w:pPr>
        <w:pStyle w:val="1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受理事宜</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（一）受理机关</w:t>
      </w:r>
      <w:r>
        <w:rPr>
          <w:rFonts w:hint="eastAsia" w:ascii="仿宋_GB2312" w:hAnsi="仿宋_GB2312" w:eastAsia="仿宋_GB2312" w:cs="仿宋_GB2312"/>
          <w:sz w:val="32"/>
          <w:szCs w:val="32"/>
        </w:rPr>
        <w:t>：</w:t>
      </w:r>
      <w:r>
        <w:rPr>
          <w:rFonts w:hint="eastAsia" w:ascii="仿宋_GB2312" w:eastAsia="仿宋_GB2312"/>
          <w:sz w:val="32"/>
          <w:szCs w:val="32"/>
        </w:rPr>
        <w:t>深圳市市场监督管理局。</w:t>
      </w:r>
    </w:p>
    <w:p>
      <w:pPr>
        <w:snapToGrid w:val="0"/>
        <w:spacing w:line="560" w:lineRule="exact"/>
        <w:ind w:firstLine="642" w:firstLineChars="200"/>
        <w:jc w:val="left"/>
        <w:rPr>
          <w:rFonts w:hint="eastAsia" w:ascii="仿宋_GB2312" w:eastAsia="仿宋_GB2312"/>
          <w:sz w:val="32"/>
          <w:szCs w:val="32"/>
          <w:lang w:eastAsia="zh-CN"/>
        </w:rPr>
      </w:pPr>
      <w:r>
        <w:rPr>
          <w:rFonts w:hint="eastAsia" w:ascii="楷体_GB2312" w:hAnsi="楷体_GB2312" w:eastAsia="楷体_GB2312" w:cs="楷体_GB2312"/>
          <w:b/>
          <w:bCs/>
          <w:sz w:val="32"/>
          <w:szCs w:val="32"/>
        </w:rPr>
        <w:t>（二）受理时间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日9:00至202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日18:00</w:t>
      </w:r>
      <w:r>
        <w:rPr>
          <w:rFonts w:hint="eastAsia" w:ascii="仿宋_GB2312" w:eastAsia="仿宋_GB2312"/>
          <w:sz w:val="32"/>
          <w:szCs w:val="32"/>
          <w:lang w:eastAsia="zh-CN"/>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numPr>
          <w:ilvl w:val="0"/>
          <w:numId w:val="0"/>
        </w:numPr>
        <w:snapToGrid w:val="0"/>
        <w:spacing w:line="560" w:lineRule="exact"/>
        <w:ind w:firstLine="640" w:firstLineChars="200"/>
        <w:rPr>
          <w:rFonts w:ascii="仿宋_GB2312" w:eastAsia="仿宋_GB2312"/>
          <w:kern w:val="0"/>
          <w:sz w:val="32"/>
          <w:szCs w:val="32"/>
        </w:rPr>
      </w:pPr>
      <w:r>
        <w:rPr>
          <w:rFonts w:hint="eastAsia" w:ascii="仿宋_GB2312" w:eastAsia="仿宋_GB2312"/>
          <w:sz w:val="32"/>
          <w:szCs w:val="32"/>
        </w:rPr>
        <w:t>本</w:t>
      </w:r>
      <w:r>
        <w:rPr>
          <w:rFonts w:hint="eastAsia" w:ascii="仿宋_GB2312" w:eastAsia="仿宋_GB2312"/>
          <w:sz w:val="32"/>
          <w:szCs w:val="32"/>
          <w:lang w:eastAsia="zh-CN"/>
        </w:rPr>
        <w:t>项目</w:t>
      </w:r>
      <w:r>
        <w:rPr>
          <w:rFonts w:hint="eastAsia" w:ascii="仿宋_GB2312" w:eastAsia="仿宋_GB2312"/>
          <w:sz w:val="32"/>
          <w:szCs w:val="32"/>
        </w:rPr>
        <w:t>实行网上在线申报，申报</w:t>
      </w:r>
      <w:r>
        <w:rPr>
          <w:rFonts w:hint="eastAsia" w:ascii="仿宋_GB2312" w:eastAsia="仿宋_GB2312"/>
          <w:sz w:val="32"/>
          <w:szCs w:val="32"/>
          <w:lang w:eastAsia="zh-CN"/>
        </w:rPr>
        <w:t>人需进入深圳市财政专项资金统一管理平台</w:t>
      </w:r>
      <w:r>
        <w:rPr>
          <w:rFonts w:hint="eastAsia" w:ascii="仿宋_GB2312" w:eastAsia="仿宋_GB2312"/>
          <w:kern w:val="0"/>
          <w:sz w:val="32"/>
          <w:szCs w:val="32"/>
          <w:lang w:eastAsia="zh-CN"/>
        </w:rPr>
        <w:t>（</w:t>
      </w:r>
      <w:r>
        <w:rPr>
          <w:rFonts w:hint="eastAsia" w:ascii="仿宋_GB2312" w:eastAsia="仿宋_GB2312"/>
          <w:color w:val="auto"/>
          <w:sz w:val="32"/>
          <w:szCs w:val="32"/>
          <w:highlight w:val="none"/>
        </w:rPr>
        <w:t>https://cqt.szfb.sz.gov.cn/#/home</w:t>
      </w:r>
      <w:r>
        <w:rPr>
          <w:rFonts w:hint="eastAsia" w:ascii="仿宋_GB2312" w:eastAsia="仿宋_GB2312"/>
          <w:color w:val="auto"/>
          <w:sz w:val="32"/>
          <w:szCs w:val="32"/>
          <w:highlight w:val="none"/>
          <w:lang w:eastAsia="zh-CN"/>
        </w:rPr>
        <w:t>）</w:t>
      </w:r>
      <w:r>
        <w:rPr>
          <w:rFonts w:hint="eastAsia" w:ascii="仿宋_GB2312" w:eastAsia="仿宋_GB2312"/>
          <w:kern w:val="2"/>
          <w:sz w:val="32"/>
          <w:szCs w:val="32"/>
          <w:lang w:val="en" w:eastAsia="zh-CN"/>
        </w:rPr>
        <w:t>。</w:t>
      </w:r>
      <w:r>
        <w:rPr>
          <w:rFonts w:hint="eastAsia" w:ascii="仿宋_GB2312" w:eastAsia="仿宋_GB2312"/>
          <w:sz w:val="32"/>
          <w:szCs w:val="32"/>
          <w:highlight w:val="none"/>
          <w:lang w:eastAsia="zh-CN"/>
        </w:rPr>
        <w:t>该平台已与</w:t>
      </w:r>
      <w:r>
        <w:rPr>
          <w:rFonts w:hint="eastAsia" w:ascii="仿宋_GB2312" w:eastAsia="仿宋_GB2312"/>
          <w:sz w:val="32"/>
          <w:szCs w:val="32"/>
          <w:highlight w:val="none"/>
        </w:rPr>
        <w:t>广东政务服务网</w:t>
      </w:r>
      <w:r>
        <w:rPr>
          <w:rFonts w:hint="eastAsia" w:ascii="仿宋_GB2312" w:eastAsia="仿宋_GB2312"/>
          <w:sz w:val="32"/>
          <w:szCs w:val="32"/>
          <w:highlight w:val="none"/>
          <w:lang w:eastAsia="zh-CN"/>
        </w:rPr>
        <w:t>信息进行对接，申请人可使用</w:t>
      </w:r>
      <w:r>
        <w:rPr>
          <w:rFonts w:hint="eastAsia" w:ascii="仿宋_GB2312" w:eastAsia="仿宋_GB2312"/>
          <w:sz w:val="32"/>
          <w:szCs w:val="32"/>
          <w:highlight w:val="none"/>
        </w:rPr>
        <w:t>广东政务服务网账户</w:t>
      </w:r>
      <w:r>
        <w:rPr>
          <w:rFonts w:hint="eastAsia" w:ascii="仿宋_GB2312" w:eastAsia="仿宋_GB2312"/>
          <w:sz w:val="32"/>
          <w:szCs w:val="32"/>
          <w:highlight w:val="none"/>
          <w:lang w:eastAsia="zh-CN"/>
        </w:rPr>
        <w:t>密码进行登录，在搜索栏搜索本项目名称，</w:t>
      </w:r>
      <w:r>
        <w:rPr>
          <w:rFonts w:hint="eastAsia" w:ascii="仿宋_GB2312" w:eastAsia="仿宋_GB2312"/>
          <w:sz w:val="32"/>
          <w:szCs w:val="32"/>
        </w:rPr>
        <w:t>选中后进入申报页面。</w:t>
      </w:r>
      <w:r>
        <w:rPr>
          <w:rFonts w:ascii="仿宋_GB2312" w:eastAsia="仿宋_GB2312"/>
          <w:kern w:val="0"/>
          <w:sz w:val="32"/>
          <w:szCs w:val="32"/>
        </w:rPr>
        <w:t>将本指南第</w:t>
      </w:r>
      <w:r>
        <w:rPr>
          <w:rFonts w:hint="eastAsia" w:ascii="仿宋_GB2312" w:eastAsia="仿宋_GB2312"/>
          <w:kern w:val="0"/>
          <w:sz w:val="32"/>
          <w:szCs w:val="32"/>
        </w:rPr>
        <w:t>六</w:t>
      </w:r>
      <w:r>
        <w:rPr>
          <w:rFonts w:ascii="仿宋_GB2312" w:eastAsia="仿宋_GB2312"/>
          <w:kern w:val="0"/>
          <w:sz w:val="32"/>
          <w:szCs w:val="32"/>
        </w:rPr>
        <w:t>条要求的</w:t>
      </w:r>
      <w:r>
        <w:rPr>
          <w:rFonts w:hint="eastAsia" w:ascii="仿宋_GB2312" w:eastAsia="仿宋_GB2312"/>
          <w:kern w:val="0"/>
          <w:sz w:val="32"/>
          <w:szCs w:val="32"/>
        </w:rPr>
        <w:t>全部</w:t>
      </w:r>
      <w:r>
        <w:rPr>
          <w:rFonts w:ascii="仿宋_GB2312" w:eastAsia="仿宋_GB2312"/>
          <w:kern w:val="0"/>
          <w:sz w:val="32"/>
          <w:szCs w:val="32"/>
        </w:rPr>
        <w:t>申</w:t>
      </w:r>
      <w:r>
        <w:rPr>
          <w:rFonts w:hint="eastAsia" w:ascii="仿宋_GB2312" w:eastAsia="仿宋_GB2312"/>
          <w:kern w:val="0"/>
          <w:sz w:val="32"/>
          <w:szCs w:val="32"/>
        </w:rPr>
        <w:t>请</w:t>
      </w:r>
      <w:r>
        <w:rPr>
          <w:rFonts w:ascii="仿宋_GB2312" w:eastAsia="仿宋_GB2312"/>
          <w:kern w:val="0"/>
          <w:sz w:val="32"/>
          <w:szCs w:val="32"/>
        </w:rPr>
        <w:t>材料按照申报系统中的</w:t>
      </w:r>
      <w:r>
        <w:rPr>
          <w:rFonts w:hint="eastAsia" w:ascii="仿宋_GB2312" w:eastAsia="仿宋_GB2312"/>
          <w:kern w:val="0"/>
          <w:sz w:val="32"/>
          <w:szCs w:val="32"/>
        </w:rPr>
        <w:t>有关</w:t>
      </w:r>
      <w:r>
        <w:rPr>
          <w:rFonts w:ascii="仿宋_GB2312" w:eastAsia="仿宋_GB2312"/>
          <w:kern w:val="0"/>
          <w:sz w:val="32"/>
          <w:szCs w:val="32"/>
        </w:rPr>
        <w:t>提示要求</w:t>
      </w:r>
      <w:r>
        <w:rPr>
          <w:rFonts w:hint="eastAsia" w:ascii="仿宋_GB2312" w:eastAsia="仿宋_GB2312"/>
          <w:kern w:val="0"/>
          <w:sz w:val="32"/>
          <w:szCs w:val="32"/>
        </w:rPr>
        <w:t>分别</w:t>
      </w:r>
      <w:r>
        <w:rPr>
          <w:rFonts w:ascii="仿宋_GB2312" w:eastAsia="仿宋_GB2312"/>
          <w:kern w:val="0"/>
          <w:sz w:val="32"/>
          <w:szCs w:val="32"/>
        </w:rPr>
        <w:t>上传。</w:t>
      </w:r>
    </w:p>
    <w:p>
      <w:pPr>
        <w:pStyle w:val="16"/>
        <w:numPr>
          <w:ilvl w:val="0"/>
          <w:numId w:val="0"/>
        </w:numPr>
        <w:snapToGrid w:val="0"/>
        <w:spacing w:line="560" w:lineRule="exact"/>
        <w:ind w:firstLine="640" w:firstLineChars="200"/>
        <w:rPr>
          <w:rFonts w:ascii="黑体" w:hAnsi="黑体" w:eastAsia="黑体" w:cs="黑体"/>
          <w:sz w:val="32"/>
          <w:szCs w:val="32"/>
        </w:rPr>
      </w:pPr>
      <w:r>
        <w:rPr>
          <w:rFonts w:hint="eastAsia" w:ascii="仿宋_GB2312" w:eastAsia="仿宋_GB2312"/>
          <w:sz w:val="32"/>
          <w:szCs w:val="32"/>
        </w:rPr>
        <w:t>申报系统技术支持电话：0755-27038037。申报业务咨询电话：0755-83070752。办公时间：星期一至星期五（法定节假日除外）上午09:00-12:00，下午14:00-18:00。</w:t>
      </w:r>
    </w:p>
    <w:p>
      <w:pPr>
        <w:pStyle w:val="1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决定机关</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深圳市市场监督管理局</w:t>
      </w:r>
    </w:p>
    <w:p>
      <w:pPr>
        <w:pStyle w:val="1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办理程序与注意事项</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（一）办理程序</w:t>
      </w:r>
    </w:p>
    <w:p>
      <w:pPr>
        <w:numPr>
          <w:ilvl w:val="0"/>
          <w:numId w:val="0"/>
        </w:numPr>
        <w:snapToGrid w:val="0"/>
        <w:spacing w:line="560" w:lineRule="exact"/>
        <w:ind w:firstLine="640" w:firstLineChars="200"/>
        <w:rPr>
          <w:rFonts w:ascii="仿宋_GB2312" w:eastAsia="仿宋_GB2312"/>
          <w:sz w:val="32"/>
          <w:highlight w:val="none"/>
        </w:rPr>
      </w:pPr>
      <w:r>
        <w:rPr>
          <w:rFonts w:hint="eastAsia" w:ascii="仿宋_GB2312" w:eastAsia="仿宋_GB2312"/>
          <w:sz w:val="32"/>
          <w:highlight w:val="none"/>
        </w:rPr>
        <w:t>市市场监管局发布年度申报指南（通知）——申请人网上申报（通过申报系统在线提交电子申请材料）——市市场监管局受理初审（含可能发生的补正程序）——专家评审——</w:t>
      </w:r>
      <w:r>
        <w:rPr>
          <w:rFonts w:hint="default" w:ascii="仿宋_GB2312" w:eastAsia="仿宋_GB2312"/>
          <w:sz w:val="32"/>
          <w:highlight w:val="none"/>
        </w:rPr>
        <w:t>会同</w:t>
      </w:r>
      <w:r>
        <w:rPr>
          <w:rFonts w:hint="eastAsia" w:ascii="仿宋_GB2312" w:eastAsia="仿宋_GB2312"/>
          <w:sz w:val="32"/>
          <w:highlight w:val="none"/>
        </w:rPr>
        <w:t>相关部门核对数据、核查诚信情况</w:t>
      </w:r>
      <w:r>
        <w:rPr>
          <w:rFonts w:hint="default" w:ascii="仿宋_GB2312" w:eastAsia="仿宋_GB2312"/>
          <w:sz w:val="32"/>
          <w:highlight w:val="none"/>
        </w:rPr>
        <w:t>和重复资助情况</w:t>
      </w:r>
      <w:r>
        <w:rPr>
          <w:rFonts w:hint="eastAsia" w:ascii="仿宋_GB2312" w:eastAsia="仿宋_GB2312"/>
          <w:sz w:val="32"/>
          <w:highlight w:val="none"/>
        </w:rPr>
        <w:t>——</w:t>
      </w:r>
      <w:r>
        <w:rPr>
          <w:rFonts w:hint="eastAsia" w:ascii="仿宋_GB2312" w:hAnsi="仿宋_GB2312" w:eastAsia="仿宋_GB2312" w:cs="仿宋_GB2312"/>
          <w:sz w:val="32"/>
          <w:szCs w:val="32"/>
          <w:highlight w:val="none"/>
        </w:rPr>
        <w:t>集体研究决策</w:t>
      </w:r>
      <w:r>
        <w:rPr>
          <w:rFonts w:hint="eastAsia" w:ascii="仿宋_GB2312" w:eastAsia="仿宋_GB2312"/>
          <w:sz w:val="32"/>
          <w:highlight w:val="none"/>
        </w:rPr>
        <w:t>——公示（</w:t>
      </w:r>
      <w:r>
        <w:rPr>
          <w:rFonts w:ascii="仿宋_GB2312" w:eastAsia="仿宋_GB2312"/>
          <w:sz w:val="32"/>
          <w:highlight w:val="none"/>
        </w:rPr>
        <w:t>5个工作日）</w:t>
      </w:r>
      <w:r>
        <w:rPr>
          <w:rFonts w:hint="eastAsia" w:ascii="仿宋_GB2312" w:eastAsia="仿宋_GB2312"/>
          <w:sz w:val="32"/>
          <w:highlight w:val="none"/>
        </w:rPr>
        <w:t>——</w:t>
      </w:r>
      <w:r>
        <w:rPr>
          <w:rFonts w:hint="eastAsia" w:ascii="仿宋_GB2312" w:eastAsia="仿宋_GB2312"/>
          <w:sz w:val="32"/>
          <w:highlight w:val="none"/>
          <w:lang w:eastAsia="zh-CN"/>
        </w:rPr>
        <w:t>审计——</w:t>
      </w:r>
      <w:r>
        <w:rPr>
          <w:rFonts w:hint="eastAsia" w:ascii="仿宋_GB2312" w:eastAsia="仿宋_GB2312"/>
          <w:sz w:val="32"/>
          <w:highlight w:val="none"/>
        </w:rPr>
        <w:t>财政资金预算申请</w:t>
      </w:r>
      <w:r>
        <w:rPr>
          <w:rFonts w:hint="eastAsia" w:ascii="仿宋_GB2312" w:eastAsia="仿宋_GB2312"/>
          <w:sz w:val="32"/>
          <w:highlight w:val="none"/>
          <w:lang w:eastAsia="zh-CN"/>
        </w:rPr>
        <w:t>——</w:t>
      </w:r>
      <w:r>
        <w:rPr>
          <w:rFonts w:hint="eastAsia" w:ascii="仿宋_GB2312" w:eastAsia="仿宋_GB2312"/>
          <w:sz w:val="32"/>
          <w:highlight w:val="none"/>
        </w:rPr>
        <w:t>资金拨付。</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hint="eastAsia" w:ascii="仿宋_GB2312" w:eastAsia="仿宋_GB2312"/>
          <w:b w:val="0"/>
          <w:bCs/>
          <w:sz w:val="32"/>
          <w:szCs w:val="32"/>
        </w:rPr>
        <w:t>申请人广东政务服务网账户等级须达到五级（原L3级别）核验方可进行申报</w:t>
      </w:r>
      <w:r>
        <w:rPr>
          <w:rFonts w:ascii="仿宋_GB2312" w:hAnsi="仿宋_GB2312" w:eastAsia="仿宋_GB2312" w:cs="仿宋_GB2312"/>
          <w:b w:val="0"/>
          <w:sz w:val="32"/>
          <w:szCs w:val="32"/>
        </w:rPr>
        <w:t>。</w:t>
      </w:r>
      <w:r>
        <w:rPr>
          <w:rFonts w:hint="eastAsia"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eastAsia="仿宋_GB2312"/>
          <w:sz w:val="32"/>
          <w:szCs w:val="32"/>
        </w:rPr>
        <w:t>严格按照申报系统有关提示进行填报</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市知识产权主管部门对申请材料进行受理和初审，申请材料不完善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，限期予以补正；申请人应按要求进行补正，未按要求补正材料或补正材料未通过审核的，不予资助或奖励</w:t>
      </w:r>
      <w:r>
        <w:rPr>
          <w:rFonts w:hint="eastAsia" w:ascii="仿宋_GB2312" w:hAnsi="仿宋_GB2312" w:eastAsia="仿宋_GB2312" w:cs="仿宋_GB2312"/>
          <w:sz w:val="32"/>
          <w:szCs w:val="32"/>
          <w:lang w:eastAsia="zh-CN"/>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w:t>
      </w:r>
      <w:r>
        <w:rPr>
          <w:rFonts w:hint="eastAsia" w:ascii="仿宋_GB2312" w:eastAsia="仿宋_GB2312"/>
          <w:sz w:val="32"/>
          <w:szCs w:val="32"/>
        </w:rPr>
        <w:t>资助专项资金的发放时间将根据市财政预算具体规划而定，届时将另行通知办理领款手续，请按通知要求办理。</w:t>
      </w:r>
    </w:p>
    <w:p>
      <w:pPr>
        <w:pStyle w:val="1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合规提示</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七</w:t>
      </w:r>
      <w:r>
        <w:rPr>
          <w:rFonts w:ascii="仿宋_GB2312" w:eastAsia="仿宋_GB2312"/>
          <w:b w:val="0"/>
          <w:sz w:val="32"/>
          <w:szCs w:val="32"/>
          <w:highlight w:val="none"/>
        </w:rPr>
        <w:t>条规定：</w:t>
      </w:r>
      <w:r>
        <w:rPr>
          <w:rFonts w:hint="eastAsia" w:ascii="仿宋_GB2312" w:eastAsia="仿宋_GB2312"/>
          <w:b w:val="0"/>
          <w:sz w:val="32"/>
          <w:szCs w:val="32"/>
          <w:highlight w:val="none"/>
        </w:rPr>
        <w:t>申请人应对提交的申请材料真实性、合法性、有效性负责。申请人利用虚假材料或</w:t>
      </w:r>
      <w:r>
        <w:rPr>
          <w:rFonts w:hint="eastAsia" w:ascii="仿宋_GB2312" w:eastAsia="仿宋_GB2312"/>
          <w:b w:val="0"/>
          <w:sz w:val="32"/>
          <w:szCs w:val="32"/>
          <w:highlight w:val="none"/>
          <w:lang w:eastAsia="zh-CN"/>
        </w:rPr>
        <w:t>通过</w:t>
      </w:r>
      <w:r>
        <w:rPr>
          <w:rFonts w:hint="eastAsia" w:ascii="仿宋_GB2312" w:eastAsia="仿宋_GB2312"/>
          <w:b w:val="0"/>
          <w:sz w:val="32"/>
          <w:szCs w:val="32"/>
          <w:highlight w:val="none"/>
        </w:rPr>
        <w:t>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不正当行为骗取、套取、虚报、冒领、截留、挪用专项资金或者违反其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八</w:t>
      </w:r>
      <w:r>
        <w:rPr>
          <w:rFonts w:ascii="仿宋_GB2312" w:eastAsia="仿宋_GB2312"/>
          <w:b w:val="0"/>
          <w:sz w:val="32"/>
          <w:szCs w:val="32"/>
          <w:highlight w:val="none"/>
        </w:rPr>
        <w:t>条规定：</w:t>
      </w:r>
      <w:r>
        <w:rPr>
          <w:rFonts w:hint="eastAsia" w:ascii="仿宋_GB2312" w:eastAsia="仿宋_GB2312"/>
          <w:b w:val="0"/>
          <w:sz w:val="32"/>
          <w:szCs w:val="32"/>
          <w:highlight w:val="none"/>
        </w:rPr>
        <w:t>受委托的第三方审计机构或专业机构在审计或核验过程中，存在弄虚作假、隐瞒事实真相或与受资助单位串通作弊并出具相关报告</w:t>
      </w:r>
      <w:r>
        <w:rPr>
          <w:rFonts w:hint="eastAsia" w:ascii="仿宋_GB2312" w:eastAsia="仿宋_GB2312"/>
          <w:b w:val="0"/>
          <w:sz w:val="32"/>
          <w:szCs w:val="32"/>
          <w:highlight w:val="none"/>
          <w:lang w:eastAsia="zh-CN"/>
        </w:rPr>
        <w:t>情形的</w:t>
      </w:r>
      <w:r>
        <w:rPr>
          <w:rFonts w:hint="eastAsia" w:ascii="仿宋_GB2312" w:eastAsia="仿宋_GB2312"/>
          <w:b w:val="0"/>
          <w:sz w:val="32"/>
          <w:szCs w:val="32"/>
          <w:highlight w:val="none"/>
        </w:rPr>
        <w:t>，按照有关规定追究责任。</w:t>
      </w:r>
    </w:p>
    <w:p>
      <w:pPr>
        <w:pStyle w:val="3"/>
        <w:snapToGrid w:val="0"/>
        <w:spacing w:before="0" w:beforeAutospacing="0" w:after="0" w:afterAutospacing="0" w:line="560" w:lineRule="exact"/>
        <w:ind w:firstLine="640" w:firstLineChars="200"/>
        <w:jc w:val="both"/>
        <w:rPr>
          <w:rFonts w:ascii="仿宋_GB2312" w:eastAsia="仿宋_GB2312"/>
          <w:b w:val="0"/>
          <w:sz w:val="32"/>
          <w:szCs w:val="32"/>
        </w:rPr>
      </w:pPr>
      <w:r>
        <w:rPr>
          <w:rFonts w:ascii="仿宋_GB2312" w:eastAsia="仿宋_GB2312"/>
          <w:b w:val="0"/>
          <w:sz w:val="32"/>
          <w:szCs w:val="32"/>
        </w:rPr>
        <w:t>（三）</w:t>
      </w:r>
      <w:r>
        <w:rPr>
          <w:rFonts w:hint="eastAsia" w:ascii="仿宋_GB2312" w:eastAsia="仿宋_GB2312"/>
          <w:b w:val="0"/>
          <w:sz w:val="32"/>
          <w:szCs w:val="32"/>
        </w:rPr>
        <w:t>《深圳市市场监督管理局知识产权领域专项资金操作规程》第三十九条规定：第三方中介机构不得违规代理本规程资助奖励项目申领事宜。</w:t>
      </w:r>
    </w:p>
    <w:p>
      <w:pPr>
        <w:pStyle w:val="3"/>
        <w:snapToGrid w:val="0"/>
        <w:spacing w:before="0" w:beforeAutospacing="0" w:after="0" w:afterAutospacing="0" w:line="560" w:lineRule="exact"/>
        <w:ind w:firstLine="640" w:firstLineChars="200"/>
        <w:jc w:val="both"/>
        <w:rPr>
          <w:rFonts w:hint="default"/>
        </w:rPr>
      </w:pPr>
      <w:r>
        <w:rPr>
          <w:rFonts w:hint="eastAsia" w:ascii="仿宋_GB2312" w:eastAsia="仿宋_GB2312"/>
          <w:b w:val="0"/>
          <w:sz w:val="32"/>
          <w:szCs w:val="32"/>
          <w:lang w:eastAsia="zh-CN"/>
        </w:rPr>
        <w:t>（四）</w:t>
      </w:r>
      <w:r>
        <w:rPr>
          <w:rFonts w:ascii="仿宋_GB2312" w:eastAsia="仿宋_GB2312"/>
          <w:b w:val="0"/>
          <w:sz w:val="32"/>
          <w:szCs w:val="32"/>
        </w:rPr>
        <w:t>根据上述规定，申请人申请资助时必须作出合规承诺（在申报系统中操作），否则不予受理。</w:t>
      </w:r>
    </w:p>
    <w:p>
      <w:pPr>
        <w:pStyle w:val="1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1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年审或年检</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无年审、年检。</w:t>
      </w:r>
    </w:p>
    <w:p>
      <w:pPr>
        <w:snapToGrid w:val="0"/>
        <w:spacing w:line="560" w:lineRule="exact"/>
        <w:ind w:firstLine="640" w:firstLineChars="200"/>
        <w:jc w:val="left"/>
        <w:rPr>
          <w:rFonts w:ascii="仿宋_GB2312" w:eastAsia="仿宋_GB2312"/>
          <w:sz w:val="32"/>
          <w:szCs w:val="32"/>
        </w:rPr>
      </w:pPr>
    </w:p>
    <w:p>
      <w:pPr>
        <w:pStyle w:val="2"/>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NzZiMDdkYTY0ZmRmMzBiOWIyYjRiNDY5NGVjYjcifQ=="/>
  </w:docVars>
  <w:rsids>
    <w:rsidRoot w:val="303C3716"/>
    <w:rsid w:val="00093BFC"/>
    <w:rsid w:val="000D6AFA"/>
    <w:rsid w:val="000E339A"/>
    <w:rsid w:val="00114CE4"/>
    <w:rsid w:val="001215B3"/>
    <w:rsid w:val="0012255A"/>
    <w:rsid w:val="001501BC"/>
    <w:rsid w:val="00150517"/>
    <w:rsid w:val="001C037F"/>
    <w:rsid w:val="001C621F"/>
    <w:rsid w:val="001D6603"/>
    <w:rsid w:val="00235A49"/>
    <w:rsid w:val="00242477"/>
    <w:rsid w:val="00280A48"/>
    <w:rsid w:val="00292A22"/>
    <w:rsid w:val="002A61FE"/>
    <w:rsid w:val="002C264A"/>
    <w:rsid w:val="002E5A85"/>
    <w:rsid w:val="002F239C"/>
    <w:rsid w:val="002F5228"/>
    <w:rsid w:val="002F6363"/>
    <w:rsid w:val="00307DD3"/>
    <w:rsid w:val="00312128"/>
    <w:rsid w:val="00321345"/>
    <w:rsid w:val="003347DA"/>
    <w:rsid w:val="0034702C"/>
    <w:rsid w:val="003811D1"/>
    <w:rsid w:val="003859F9"/>
    <w:rsid w:val="0039130D"/>
    <w:rsid w:val="003A21BD"/>
    <w:rsid w:val="003B4E05"/>
    <w:rsid w:val="003C066F"/>
    <w:rsid w:val="00420EA1"/>
    <w:rsid w:val="00447BAC"/>
    <w:rsid w:val="004649A2"/>
    <w:rsid w:val="00470BBF"/>
    <w:rsid w:val="00471392"/>
    <w:rsid w:val="004920D0"/>
    <w:rsid w:val="00492249"/>
    <w:rsid w:val="00494F08"/>
    <w:rsid w:val="004D5860"/>
    <w:rsid w:val="00530529"/>
    <w:rsid w:val="00531E2F"/>
    <w:rsid w:val="0055487C"/>
    <w:rsid w:val="00566C01"/>
    <w:rsid w:val="00585AC2"/>
    <w:rsid w:val="00594157"/>
    <w:rsid w:val="005B66DA"/>
    <w:rsid w:val="005E71F2"/>
    <w:rsid w:val="005F0C56"/>
    <w:rsid w:val="005F45A6"/>
    <w:rsid w:val="00632D0B"/>
    <w:rsid w:val="00634337"/>
    <w:rsid w:val="00646253"/>
    <w:rsid w:val="00663281"/>
    <w:rsid w:val="00686501"/>
    <w:rsid w:val="006979D9"/>
    <w:rsid w:val="006C2A4B"/>
    <w:rsid w:val="006E17CC"/>
    <w:rsid w:val="00703C52"/>
    <w:rsid w:val="00731745"/>
    <w:rsid w:val="007660A5"/>
    <w:rsid w:val="007849BC"/>
    <w:rsid w:val="007B4669"/>
    <w:rsid w:val="007C6D7E"/>
    <w:rsid w:val="007D592F"/>
    <w:rsid w:val="0080254E"/>
    <w:rsid w:val="00803BEC"/>
    <w:rsid w:val="00804B30"/>
    <w:rsid w:val="008273B9"/>
    <w:rsid w:val="00834185"/>
    <w:rsid w:val="0085279F"/>
    <w:rsid w:val="00857A69"/>
    <w:rsid w:val="00886917"/>
    <w:rsid w:val="008871D0"/>
    <w:rsid w:val="00893849"/>
    <w:rsid w:val="008955FA"/>
    <w:rsid w:val="008B32B5"/>
    <w:rsid w:val="008B3A3F"/>
    <w:rsid w:val="008C42A1"/>
    <w:rsid w:val="008D79FB"/>
    <w:rsid w:val="008E38AE"/>
    <w:rsid w:val="00907EC9"/>
    <w:rsid w:val="0091297C"/>
    <w:rsid w:val="00940B80"/>
    <w:rsid w:val="009473BD"/>
    <w:rsid w:val="00953C36"/>
    <w:rsid w:val="00983D09"/>
    <w:rsid w:val="0098462C"/>
    <w:rsid w:val="009869D6"/>
    <w:rsid w:val="009A2E1B"/>
    <w:rsid w:val="009B31A9"/>
    <w:rsid w:val="009E0673"/>
    <w:rsid w:val="009E1CFD"/>
    <w:rsid w:val="00A03249"/>
    <w:rsid w:val="00A24F2C"/>
    <w:rsid w:val="00A4028E"/>
    <w:rsid w:val="00A4235D"/>
    <w:rsid w:val="00A44437"/>
    <w:rsid w:val="00A53B41"/>
    <w:rsid w:val="00A54FEB"/>
    <w:rsid w:val="00A57344"/>
    <w:rsid w:val="00A71C11"/>
    <w:rsid w:val="00A74F96"/>
    <w:rsid w:val="00A915BC"/>
    <w:rsid w:val="00AA6B56"/>
    <w:rsid w:val="00AE17D2"/>
    <w:rsid w:val="00AE765B"/>
    <w:rsid w:val="00B03CAC"/>
    <w:rsid w:val="00B37333"/>
    <w:rsid w:val="00B52FFD"/>
    <w:rsid w:val="00B60557"/>
    <w:rsid w:val="00B6434A"/>
    <w:rsid w:val="00BA0F93"/>
    <w:rsid w:val="00BA3D79"/>
    <w:rsid w:val="00BB3265"/>
    <w:rsid w:val="00BC3EA9"/>
    <w:rsid w:val="00BC6CC2"/>
    <w:rsid w:val="00BE7D66"/>
    <w:rsid w:val="00C128C2"/>
    <w:rsid w:val="00C14B97"/>
    <w:rsid w:val="00C214B2"/>
    <w:rsid w:val="00C31C7B"/>
    <w:rsid w:val="00C457A7"/>
    <w:rsid w:val="00C86EFD"/>
    <w:rsid w:val="00CA74B2"/>
    <w:rsid w:val="00CB6A5F"/>
    <w:rsid w:val="00CC34B5"/>
    <w:rsid w:val="00D00FFE"/>
    <w:rsid w:val="00D303FD"/>
    <w:rsid w:val="00D42C85"/>
    <w:rsid w:val="00D45EA8"/>
    <w:rsid w:val="00D57588"/>
    <w:rsid w:val="00D66F77"/>
    <w:rsid w:val="00D67A83"/>
    <w:rsid w:val="00D75F59"/>
    <w:rsid w:val="00D83C23"/>
    <w:rsid w:val="00D944CB"/>
    <w:rsid w:val="00DA3115"/>
    <w:rsid w:val="00DB0B7B"/>
    <w:rsid w:val="00DB79C3"/>
    <w:rsid w:val="00DC1675"/>
    <w:rsid w:val="00DE4EBD"/>
    <w:rsid w:val="00DF278D"/>
    <w:rsid w:val="00E15469"/>
    <w:rsid w:val="00E2151C"/>
    <w:rsid w:val="00E23582"/>
    <w:rsid w:val="00E37BC5"/>
    <w:rsid w:val="00E454F0"/>
    <w:rsid w:val="00E944CE"/>
    <w:rsid w:val="00EB6276"/>
    <w:rsid w:val="00EC3BDA"/>
    <w:rsid w:val="00EC41E1"/>
    <w:rsid w:val="00EC7B18"/>
    <w:rsid w:val="00F21DFC"/>
    <w:rsid w:val="00F21EDE"/>
    <w:rsid w:val="00F420F1"/>
    <w:rsid w:val="00FA231C"/>
    <w:rsid w:val="00FD5539"/>
    <w:rsid w:val="00FD73F4"/>
    <w:rsid w:val="00FF75B8"/>
    <w:rsid w:val="01021E59"/>
    <w:rsid w:val="01B04CC0"/>
    <w:rsid w:val="021A19F4"/>
    <w:rsid w:val="028B36A9"/>
    <w:rsid w:val="03AE1F3D"/>
    <w:rsid w:val="04383715"/>
    <w:rsid w:val="055632F4"/>
    <w:rsid w:val="062E3A05"/>
    <w:rsid w:val="06964A39"/>
    <w:rsid w:val="07176877"/>
    <w:rsid w:val="084157B8"/>
    <w:rsid w:val="09071E3A"/>
    <w:rsid w:val="0B4A3F1E"/>
    <w:rsid w:val="0B792C38"/>
    <w:rsid w:val="0E0D1F34"/>
    <w:rsid w:val="0E59270B"/>
    <w:rsid w:val="0E5E4367"/>
    <w:rsid w:val="0E673FB5"/>
    <w:rsid w:val="0FDC41D9"/>
    <w:rsid w:val="11BC62C4"/>
    <w:rsid w:val="11BD7603"/>
    <w:rsid w:val="12D56DBB"/>
    <w:rsid w:val="12F73E27"/>
    <w:rsid w:val="136B4FBB"/>
    <w:rsid w:val="14D63581"/>
    <w:rsid w:val="15B63339"/>
    <w:rsid w:val="18E22E68"/>
    <w:rsid w:val="1A5B1E1F"/>
    <w:rsid w:val="1CFE1A45"/>
    <w:rsid w:val="1EC67331"/>
    <w:rsid w:val="1ED60036"/>
    <w:rsid w:val="1FDD0FB6"/>
    <w:rsid w:val="21C662EA"/>
    <w:rsid w:val="239D4892"/>
    <w:rsid w:val="23D71F40"/>
    <w:rsid w:val="2561794D"/>
    <w:rsid w:val="25D53064"/>
    <w:rsid w:val="290D642E"/>
    <w:rsid w:val="294B3D2A"/>
    <w:rsid w:val="2B46596C"/>
    <w:rsid w:val="2B693E6D"/>
    <w:rsid w:val="2B6E5792"/>
    <w:rsid w:val="2CE4735D"/>
    <w:rsid w:val="2D121ED4"/>
    <w:rsid w:val="2DF626E4"/>
    <w:rsid w:val="2EB6201D"/>
    <w:rsid w:val="2FFC5FC9"/>
    <w:rsid w:val="303C3716"/>
    <w:rsid w:val="308D68F9"/>
    <w:rsid w:val="310212C5"/>
    <w:rsid w:val="319D204F"/>
    <w:rsid w:val="31DB16A7"/>
    <w:rsid w:val="33877DD8"/>
    <w:rsid w:val="33E75E85"/>
    <w:rsid w:val="33EDAADF"/>
    <w:rsid w:val="34057CA4"/>
    <w:rsid w:val="35DD476F"/>
    <w:rsid w:val="35F9779C"/>
    <w:rsid w:val="36591E1D"/>
    <w:rsid w:val="36BC568D"/>
    <w:rsid w:val="3803673F"/>
    <w:rsid w:val="384A5501"/>
    <w:rsid w:val="392E2FEB"/>
    <w:rsid w:val="3AF46C5F"/>
    <w:rsid w:val="3AFDC917"/>
    <w:rsid w:val="3C1D4F87"/>
    <w:rsid w:val="3D6D08F7"/>
    <w:rsid w:val="3DD04E10"/>
    <w:rsid w:val="3E9A43BA"/>
    <w:rsid w:val="3EFF3154"/>
    <w:rsid w:val="4074567F"/>
    <w:rsid w:val="409E48C8"/>
    <w:rsid w:val="40F06F8D"/>
    <w:rsid w:val="40F704AD"/>
    <w:rsid w:val="40F956A6"/>
    <w:rsid w:val="4287319D"/>
    <w:rsid w:val="437F422B"/>
    <w:rsid w:val="45570DD2"/>
    <w:rsid w:val="45EE1AFF"/>
    <w:rsid w:val="466C2D04"/>
    <w:rsid w:val="47AE53FB"/>
    <w:rsid w:val="48371BB5"/>
    <w:rsid w:val="492427AA"/>
    <w:rsid w:val="493901C1"/>
    <w:rsid w:val="495D248D"/>
    <w:rsid w:val="49FB690E"/>
    <w:rsid w:val="4AC6279B"/>
    <w:rsid w:val="4B8C6A4A"/>
    <w:rsid w:val="4DC25600"/>
    <w:rsid w:val="50FF62F5"/>
    <w:rsid w:val="5363629A"/>
    <w:rsid w:val="54371806"/>
    <w:rsid w:val="546268EA"/>
    <w:rsid w:val="57E5FF39"/>
    <w:rsid w:val="58094FB8"/>
    <w:rsid w:val="58543C4F"/>
    <w:rsid w:val="589B3204"/>
    <w:rsid w:val="58E76FD6"/>
    <w:rsid w:val="5A9E5E42"/>
    <w:rsid w:val="5B577E0C"/>
    <w:rsid w:val="5DCF3ABE"/>
    <w:rsid w:val="5FCC5B82"/>
    <w:rsid w:val="5FE7B0CE"/>
    <w:rsid w:val="62F25AFF"/>
    <w:rsid w:val="633C1B14"/>
    <w:rsid w:val="64E05632"/>
    <w:rsid w:val="65271A92"/>
    <w:rsid w:val="66DA5177"/>
    <w:rsid w:val="68333BEB"/>
    <w:rsid w:val="6A31736B"/>
    <w:rsid w:val="6BCD5A19"/>
    <w:rsid w:val="6BD24A26"/>
    <w:rsid w:val="6CAD450A"/>
    <w:rsid w:val="6DA92A14"/>
    <w:rsid w:val="6EF014DA"/>
    <w:rsid w:val="6F0A249D"/>
    <w:rsid w:val="6F190F9A"/>
    <w:rsid w:val="6F6FFA58"/>
    <w:rsid w:val="6FEB9E9E"/>
    <w:rsid w:val="71BC5E12"/>
    <w:rsid w:val="71E371B8"/>
    <w:rsid w:val="72622208"/>
    <w:rsid w:val="739DA33B"/>
    <w:rsid w:val="75C77309"/>
    <w:rsid w:val="75DF300E"/>
    <w:rsid w:val="762C5158"/>
    <w:rsid w:val="763FCDE8"/>
    <w:rsid w:val="782B1688"/>
    <w:rsid w:val="7A7D6905"/>
    <w:rsid w:val="7B6A4641"/>
    <w:rsid w:val="7B763FF0"/>
    <w:rsid w:val="7B9E5C9B"/>
    <w:rsid w:val="7CDEC7A6"/>
    <w:rsid w:val="7DA9C645"/>
    <w:rsid w:val="7DADA302"/>
    <w:rsid w:val="7DBF2D33"/>
    <w:rsid w:val="7F3B50BA"/>
    <w:rsid w:val="7F5738DC"/>
    <w:rsid w:val="7FBC2747"/>
    <w:rsid w:val="8F685446"/>
    <w:rsid w:val="9EDDDDC2"/>
    <w:rsid w:val="BBDFBD09"/>
    <w:rsid w:val="BDD76C81"/>
    <w:rsid w:val="BEFF9B75"/>
    <w:rsid w:val="BFEF715C"/>
    <w:rsid w:val="D95E8150"/>
    <w:rsid w:val="DF7F7226"/>
    <w:rsid w:val="ECB44FAD"/>
    <w:rsid w:val="ED9B3FD7"/>
    <w:rsid w:val="EF7F969D"/>
    <w:rsid w:val="F2FCED94"/>
    <w:rsid w:val="F2FF0020"/>
    <w:rsid w:val="F7DE178D"/>
    <w:rsid w:val="FBBFE81B"/>
    <w:rsid w:val="FBEF68BF"/>
    <w:rsid w:val="FCBD6C6E"/>
    <w:rsid w:val="FDAF9309"/>
    <w:rsid w:val="FDFF4478"/>
    <w:rsid w:val="FE67779F"/>
    <w:rsid w:val="FEFD32BA"/>
    <w:rsid w:val="FEFF5376"/>
    <w:rsid w:val="FF7F5829"/>
    <w:rsid w:val="FFDEF7FC"/>
    <w:rsid w:val="FFF4A5D3"/>
    <w:rsid w:val="FFFF12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link w:val="12"/>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10">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3"/>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标题 3 Char"/>
    <w:basedOn w:val="10"/>
    <w:link w:val="3"/>
    <w:qFormat/>
    <w:uiPriority w:val="0"/>
    <w:rPr>
      <w:rFonts w:ascii="宋体" w:hAnsi="宋体"/>
      <w:b/>
      <w:kern w:val="2"/>
      <w:sz w:val="27"/>
    </w:rPr>
  </w:style>
  <w:style w:type="character" w:customStyle="1" w:styleId="13">
    <w:name w:val="批注框文本 Char"/>
    <w:basedOn w:val="10"/>
    <w:link w:val="5"/>
    <w:qFormat/>
    <w:uiPriority w:val="0"/>
    <w:rPr>
      <w:kern w:val="2"/>
      <w:sz w:val="18"/>
      <w:szCs w:val="18"/>
    </w:rPr>
  </w:style>
  <w:style w:type="character" w:customStyle="1" w:styleId="14">
    <w:name w:val="页脚 Char"/>
    <w:basedOn w:val="10"/>
    <w:link w:val="6"/>
    <w:qFormat/>
    <w:uiPriority w:val="99"/>
    <w:rPr>
      <w:kern w:val="2"/>
      <w:sz w:val="18"/>
      <w:szCs w:val="18"/>
    </w:rPr>
  </w:style>
  <w:style w:type="character" w:customStyle="1" w:styleId="15">
    <w:name w:val="页眉 Char"/>
    <w:basedOn w:val="10"/>
    <w:link w:val="7"/>
    <w:qFormat/>
    <w:uiPriority w:val="0"/>
    <w:rPr>
      <w:kern w:val="2"/>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6</Pages>
  <Words>3915</Words>
  <Characters>4232</Characters>
  <Lines>45</Lines>
  <Paragraphs>12</Paragraphs>
  <TotalTime>1</TotalTime>
  <ScaleCrop>false</ScaleCrop>
  <LinksUpToDate>false</LinksUpToDate>
  <CharactersWithSpaces>4329</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2021-04-19T23:21:00Z</dcterms:created>
  <dc:creator>刘妍彤</dc:creator>
  <cp:lastModifiedBy>WANGQW</cp:lastModifiedBy>
  <cp:lastPrinted>2023-03-28T01:12:00Z</cp:lastPrinted>
  <dcterms:modified xsi:type="dcterms:W3CDTF">2024-05-14T14:39:35Z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4E69A3840E6F977C27074366E90B192B</vt:lpwstr>
  </property>
</Properties>
</file>