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line="580" w:lineRule="exact"/>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2024度深圳市知识产权领军企业（单位）资助项目申报指南</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申报内容</w:t>
      </w:r>
    </w:p>
    <w:p>
      <w:pPr>
        <w:numPr>
          <w:ilvl w:val="0"/>
          <w:numId w:val="0"/>
        </w:numPr>
        <w:snapToGrid w:val="0"/>
        <w:spacing w:line="560" w:lineRule="exact"/>
        <w:ind w:firstLine="640" w:firstLineChars="200"/>
        <w:jc w:val="left"/>
        <w:rPr>
          <w:rFonts w:ascii="仿宋_GB2312" w:hAnsi="Times New Roman" w:eastAsia="仿宋_GB2312"/>
          <w:b/>
          <w:sz w:val="32"/>
          <w:szCs w:val="32"/>
        </w:rPr>
      </w:pPr>
      <w:r>
        <w:rPr>
          <w:rFonts w:hint="eastAsia" w:ascii="仿宋_GB2312" w:hAnsi="华文中宋" w:eastAsia="仿宋_GB2312" w:cs="黑体"/>
          <w:bCs/>
          <w:sz w:val="32"/>
          <w:szCs w:val="32"/>
        </w:rPr>
        <w:t>2024年度</w:t>
      </w:r>
      <w:r>
        <w:rPr>
          <w:rFonts w:hint="eastAsia" w:ascii="仿宋_GB2312" w:hAnsi="仿宋_GB2312" w:eastAsia="仿宋_GB2312" w:cs="仿宋_GB2312"/>
          <w:sz w:val="32"/>
          <w:szCs w:val="32"/>
        </w:rPr>
        <w:t>深圳市知识产权领军企业（单位）资助。</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设定</w:t>
      </w:r>
      <w:r>
        <w:rPr>
          <w:rFonts w:hint="default" w:ascii="Times New Roman" w:hAnsi="Times New Roman" w:eastAsia="黑体"/>
          <w:b w:val="0"/>
          <w:sz w:val="32"/>
        </w:rPr>
        <w:t>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（二）《深圳市市场监督管理局知识产权领域专项资金操作规程》（深市监规〔2024〕5号）。</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资助标准</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每年认定深圳市知识产权领军企业（单位）不超过20家，每家给予一次性资助50万元。</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hint="default" w:ascii="Times New Roman" w:hAnsi="Times New Roman" w:eastAsia="黑体"/>
          <w:b w:val="0"/>
          <w:sz w:val="32"/>
        </w:rPr>
        <w:t>申</w:t>
      </w:r>
      <w:r>
        <w:rPr>
          <w:rFonts w:ascii="Times New Roman" w:hAnsi="Times New Roman" w:eastAsia="黑体"/>
          <w:b w:val="0"/>
          <w:sz w:val="32"/>
        </w:rPr>
        <w:t>请</w:t>
      </w:r>
      <w:r>
        <w:rPr>
          <w:rFonts w:hint="default" w:ascii="Times New Roman" w:hAnsi="Times New Roman" w:eastAsia="黑体"/>
          <w:b w:val="0"/>
          <w:sz w:val="32"/>
        </w:rPr>
        <w:t>条件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属于依法登记注册的企业、高校或者科研院所，</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未</w:t>
      </w:r>
      <w:r>
        <w:rPr>
          <w:rFonts w:ascii="仿宋_GB2312" w:hAnsi="仿宋_GB2312" w:eastAsia="仿宋_GB2312" w:cs="仿宋_GB2312"/>
          <w:sz w:val="32"/>
          <w:szCs w:val="32"/>
        </w:rPr>
        <w:t>被认定为</w:t>
      </w:r>
      <w:r>
        <w:rPr>
          <w:rFonts w:hint="eastAsia" w:ascii="仿宋_GB2312" w:hAnsi="仿宋_GB2312" w:eastAsia="仿宋_GB2312" w:cs="仿宋_GB2312"/>
          <w:sz w:val="32"/>
          <w:szCs w:val="32"/>
        </w:rPr>
        <w:t>深圳市</w:t>
      </w:r>
      <w:r>
        <w:rPr>
          <w:rFonts w:ascii="仿宋_GB2312" w:hAnsi="仿宋_GB2312" w:eastAsia="仿宋_GB2312" w:cs="仿宋_GB2312"/>
          <w:sz w:val="32"/>
          <w:szCs w:val="32"/>
        </w:rPr>
        <w:t>知识产权</w:t>
      </w:r>
      <w:r>
        <w:rPr>
          <w:rFonts w:hint="eastAsia" w:ascii="仿宋_GB2312" w:hAnsi="仿宋_GB2312" w:eastAsia="仿宋_GB2312" w:cs="仿宋_GB2312"/>
          <w:sz w:val="32"/>
          <w:szCs w:val="32"/>
        </w:rPr>
        <w:t>优势单位（企业）；</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在深圳市从事生产经营活动，在深圳市拥有稳定办公场所；</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具有知识产权管理部门和专职工作人员，在健全完善知识产权管理体系和人才培养方面取得成效；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近2年内知识产权创造或布局成果显著；</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知识产权运用成效好，知识产权对产品或服务起到重要支撑作用，或已对外运营知识产权，或在知识产权金融领域取得运用成效；</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已建立完善的知识产权保护体系，并且采取有效措施保护知识产权；</w:t>
      </w:r>
    </w:p>
    <w:p>
      <w:pPr>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上年度对知识产权工作的投入（含知识产权人力成本、知识产权教育培训、知识产权信息化建设、知识产权保护或维权、知识产权申请官费及代理费、知识产权专业咨询等相关费用）占研发投入2%以上。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申请人已通过《创新管理—知识产权管理指南（ISO56005）》国际标准国际化专业评价的，予以优先考虑。</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w:t>
      </w:r>
      <w:bookmarkStart w:id="0" w:name="_GoBack"/>
      <w:bookmarkEnd w:id="0"/>
      <w:r>
        <w:rPr>
          <w:rFonts w:hint="eastAsia" w:ascii="仿宋_GB2312" w:hAnsi="仿宋_GB2312" w:eastAsia="仿宋_GB2312" w:cs="仿宋_GB2312"/>
          <w:sz w:val="32"/>
          <w:szCs w:val="32"/>
        </w:rPr>
        <w:t>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（三）所申请项目已经获得市级同类资助或者奖励的；</w:t>
      </w:r>
    </w:p>
    <w:p>
      <w:pPr>
        <w:adjustRightInd w:val="0"/>
        <w:snapToGrid w:val="0"/>
        <w:spacing w:line="600" w:lineRule="exact"/>
        <w:ind w:firstLine="640" w:firstLineChars="200"/>
        <w:rPr>
          <w:rFonts w:ascii="仿宋_GB2312" w:eastAsia="仿宋_GB2312"/>
          <w:b/>
          <w:sz w:val="32"/>
        </w:rPr>
      </w:pPr>
      <w:r>
        <w:rPr>
          <w:rFonts w:hint="eastAsia" w:ascii="仿宋_GB2312" w:hAnsi="仿宋_GB2312" w:eastAsia="仿宋_GB2312" w:cs="仿宋_GB2312"/>
          <w:sz w:val="32"/>
          <w:szCs w:val="32"/>
        </w:rPr>
        <w:t>（四）申请人主体已经消亡，或者进入破产清算程序的。</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申请材料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（一）申请表</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在申报系统上在线填写项目申报信息。</w:t>
      </w:r>
    </w:p>
    <w:p>
      <w:pPr>
        <w:numPr>
          <w:ilvl w:val="0"/>
          <w:numId w:val="0"/>
        </w:num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（二）申请人知识产权</w:t>
      </w:r>
      <w:r>
        <w:rPr>
          <w:rFonts w:ascii="楷体_GB2312" w:eastAsia="楷体_GB2312"/>
          <w:b/>
          <w:sz w:val="32"/>
          <w:szCs w:val="32"/>
        </w:rPr>
        <w:t>管理体系</w:t>
      </w:r>
      <w:r>
        <w:rPr>
          <w:rFonts w:hint="eastAsia" w:ascii="楷体_GB2312" w:eastAsia="楷体_GB2312"/>
          <w:b/>
          <w:sz w:val="32"/>
          <w:szCs w:val="32"/>
        </w:rPr>
        <w:t>建设及人才培养成效相关材料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1.提交申请人知识产权</w:t>
      </w:r>
      <w:r>
        <w:rPr>
          <w:rFonts w:ascii="仿宋_GB2312" w:eastAsia="仿宋_GB2312"/>
          <w:sz w:val="32"/>
          <w:szCs w:val="32"/>
        </w:rPr>
        <w:t>部门组织架构及</w:t>
      </w:r>
      <w:r>
        <w:rPr>
          <w:rFonts w:hint="eastAsia" w:ascii="仿宋_GB2312" w:eastAsia="仿宋_GB2312"/>
          <w:sz w:val="32"/>
          <w:szCs w:val="32"/>
          <w:lang w:eastAsia="zh-CN"/>
        </w:rPr>
        <w:t>本单位</w:t>
      </w:r>
      <w:r>
        <w:rPr>
          <w:rFonts w:hint="eastAsia" w:ascii="仿宋_GB2312" w:eastAsia="仿宋_GB2312"/>
          <w:sz w:val="32"/>
          <w:szCs w:val="32"/>
        </w:rPr>
        <w:t>专职</w:t>
      </w:r>
      <w:r>
        <w:rPr>
          <w:rFonts w:ascii="仿宋_GB2312" w:eastAsia="仿宋_GB2312"/>
          <w:sz w:val="32"/>
          <w:szCs w:val="32"/>
        </w:rPr>
        <w:t>工作</w:t>
      </w:r>
      <w:r>
        <w:rPr>
          <w:rFonts w:hint="eastAsia" w:ascii="仿宋_GB2312" w:eastAsia="仿宋_GB2312"/>
          <w:sz w:val="32"/>
          <w:szCs w:val="32"/>
        </w:rPr>
        <w:t>人员</w:t>
      </w:r>
      <w:r>
        <w:rPr>
          <w:rFonts w:ascii="仿宋_GB2312" w:eastAsia="仿宋_GB2312"/>
          <w:sz w:val="32"/>
          <w:szCs w:val="32"/>
        </w:rPr>
        <w:t>相关职业资格情况</w:t>
      </w:r>
      <w:r>
        <w:rPr>
          <w:rFonts w:hint="eastAsia" w:ascii="仿宋_GB2312" w:eastAsia="仿宋_GB2312"/>
          <w:sz w:val="32"/>
          <w:szCs w:val="32"/>
        </w:rPr>
        <w:t>（专利代理师资格证书、</w:t>
      </w:r>
      <w:r>
        <w:rPr>
          <w:rFonts w:ascii="仿宋_GB2312" w:eastAsia="仿宋_GB2312"/>
          <w:sz w:val="32"/>
          <w:szCs w:val="32"/>
        </w:rPr>
        <w:t>法律职业资格</w:t>
      </w:r>
      <w:r>
        <w:rPr>
          <w:rFonts w:hint="eastAsia" w:ascii="仿宋_GB2312" w:eastAsia="仿宋_GB2312"/>
          <w:sz w:val="32"/>
          <w:szCs w:val="32"/>
        </w:rPr>
        <w:t>证等）</w:t>
      </w:r>
      <w:r>
        <w:rPr>
          <w:rFonts w:ascii="仿宋_GB2312" w:eastAsia="仿宋_GB2312"/>
          <w:sz w:val="32"/>
          <w:szCs w:val="32"/>
        </w:rPr>
        <w:t>、职称情况（</w:t>
      </w:r>
      <w:r>
        <w:rPr>
          <w:rFonts w:hint="eastAsia" w:ascii="仿宋_GB2312" w:eastAsia="仿宋_GB2312"/>
          <w:sz w:val="32"/>
          <w:szCs w:val="32"/>
        </w:rPr>
        <w:t>知识产权</w:t>
      </w:r>
      <w:r>
        <w:rPr>
          <w:rFonts w:ascii="仿宋_GB2312" w:eastAsia="仿宋_GB2312"/>
          <w:sz w:val="32"/>
          <w:szCs w:val="32"/>
        </w:rPr>
        <w:t>专业</w:t>
      </w:r>
      <w:r>
        <w:rPr>
          <w:rFonts w:hint="eastAsia" w:ascii="仿宋_GB2312" w:eastAsia="仿宋_GB2312"/>
          <w:sz w:val="32"/>
          <w:szCs w:val="32"/>
        </w:rPr>
        <w:t>中级</w:t>
      </w:r>
      <w:r>
        <w:rPr>
          <w:rFonts w:ascii="仿宋_GB2312" w:eastAsia="仿宋_GB2312"/>
          <w:sz w:val="32"/>
          <w:szCs w:val="32"/>
        </w:rPr>
        <w:t>或</w:t>
      </w:r>
      <w:r>
        <w:rPr>
          <w:rFonts w:hint="eastAsia" w:ascii="仿宋_GB2312" w:eastAsia="仿宋_GB2312"/>
          <w:sz w:val="32"/>
          <w:szCs w:val="32"/>
        </w:rPr>
        <w:t>高级</w:t>
      </w:r>
      <w:r>
        <w:rPr>
          <w:rFonts w:ascii="仿宋_GB2312" w:eastAsia="仿宋_GB2312"/>
          <w:sz w:val="32"/>
          <w:szCs w:val="32"/>
        </w:rPr>
        <w:t>技术</w:t>
      </w:r>
      <w:r>
        <w:rPr>
          <w:rFonts w:hint="eastAsia" w:ascii="仿宋_GB2312" w:eastAsia="仿宋_GB2312"/>
          <w:sz w:val="32"/>
          <w:szCs w:val="32"/>
        </w:rPr>
        <w:t>职称</w:t>
      </w:r>
      <w:r>
        <w:rPr>
          <w:rFonts w:ascii="仿宋_GB2312" w:eastAsia="仿宋_GB2312"/>
          <w:sz w:val="32"/>
          <w:szCs w:val="32"/>
        </w:rPr>
        <w:t>认定文件等）</w:t>
      </w:r>
      <w:r>
        <w:rPr>
          <w:rFonts w:hint="eastAsia" w:ascii="仿宋_GB2312" w:eastAsia="仿宋_GB2312"/>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提交建立和完善</w:t>
      </w:r>
      <w:r>
        <w:rPr>
          <w:rFonts w:hint="eastAsia" w:ascii="仿宋_GB2312" w:eastAsia="仿宋_GB2312"/>
          <w:sz w:val="32"/>
          <w:szCs w:val="32"/>
        </w:rPr>
        <w:t>知识产权管理制度</w:t>
      </w:r>
      <w:r>
        <w:rPr>
          <w:rFonts w:ascii="仿宋_GB2312" w:eastAsia="仿宋_GB2312"/>
          <w:sz w:val="32"/>
          <w:szCs w:val="32"/>
        </w:rPr>
        <w:t>的相关材料；</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通过</w:t>
      </w:r>
      <w:r>
        <w:rPr>
          <w:rFonts w:hint="eastAsia" w:ascii="仿宋_GB2312" w:hAnsi="仿宋_GB2312" w:eastAsia="仿宋_GB2312" w:cs="仿宋_GB2312"/>
          <w:sz w:val="32"/>
          <w:szCs w:val="32"/>
        </w:rPr>
        <w:t>《创新管理—知识产权管理指南（ISO56005）》国际标准国际化专业评</w:t>
      </w:r>
      <w:r>
        <w:rPr>
          <w:rFonts w:hint="eastAsia" w:ascii="仿宋_GB2312" w:hAnsi="仿宋_GB2312" w:eastAsia="仿宋_GB2312" w:cs="仿宋_GB2312"/>
          <w:sz w:val="32"/>
          <w:szCs w:val="32"/>
          <w:lang w:eastAsia="zh-CN"/>
        </w:rPr>
        <w:t>价</w:t>
      </w:r>
      <w:r>
        <w:rPr>
          <w:rFonts w:hint="eastAsia" w:ascii="仿宋_GB2312" w:hAnsi="仿宋_GB2312" w:eastAsia="仿宋_GB2312" w:cs="仿宋_GB2312"/>
          <w:sz w:val="32"/>
          <w:szCs w:val="32"/>
        </w:rPr>
        <w:t>的</w:t>
      </w:r>
      <w:r>
        <w:rPr>
          <w:rFonts w:ascii="仿宋_GB2312" w:eastAsia="仿宋_GB2312"/>
          <w:sz w:val="32"/>
          <w:szCs w:val="32"/>
        </w:rPr>
        <w:t>，提交</w:t>
      </w:r>
      <w:r>
        <w:rPr>
          <w:rFonts w:hint="eastAsia" w:ascii="仿宋_GB2312" w:eastAsia="仿宋_GB2312"/>
          <w:sz w:val="32"/>
          <w:szCs w:val="32"/>
        </w:rPr>
        <w:t>有关</w:t>
      </w:r>
      <w:r>
        <w:rPr>
          <w:rFonts w:ascii="仿宋_GB2312" w:eastAsia="仿宋_GB2312"/>
          <w:sz w:val="32"/>
          <w:szCs w:val="32"/>
        </w:rPr>
        <w:t>证书</w:t>
      </w:r>
      <w:r>
        <w:rPr>
          <w:rFonts w:hint="eastAsia" w:ascii="仿宋_GB2312" w:eastAsia="仿宋_GB2312"/>
          <w:sz w:val="32"/>
          <w:szCs w:val="32"/>
        </w:rPr>
        <w:t>扫描件或其他佐证材料。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（三）知识产权创造、运用、保护各领域工作成效相关材料</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知识产权创造：</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w:t>
      </w:r>
      <w:r>
        <w:rPr>
          <w:rFonts w:hint="eastAsia" w:ascii="仿宋_GB2312" w:eastAsia="仿宋_GB2312"/>
          <w:sz w:val="32"/>
          <w:szCs w:val="32"/>
        </w:rPr>
        <w:t>近2年（2022年度、2023年度）</w:t>
      </w:r>
      <w:r>
        <w:rPr>
          <w:rFonts w:ascii="仿宋_GB2312" w:eastAsia="仿宋_GB2312"/>
          <w:sz w:val="32"/>
          <w:szCs w:val="32"/>
        </w:rPr>
        <w:t>境内</w:t>
      </w:r>
      <w:r>
        <w:rPr>
          <w:rFonts w:hint="eastAsia" w:ascii="仿宋_GB2312" w:eastAsia="仿宋_GB2312"/>
          <w:sz w:val="32"/>
          <w:szCs w:val="32"/>
        </w:rPr>
        <w:t>有效发明专利授权或版权登记或商标注册核准</w:t>
      </w:r>
      <w:r>
        <w:rPr>
          <w:rFonts w:ascii="仿宋_GB2312" w:eastAsia="仿宋_GB2312"/>
          <w:sz w:val="32"/>
          <w:szCs w:val="32"/>
        </w:rPr>
        <w:t>、境外</w:t>
      </w:r>
      <w:r>
        <w:rPr>
          <w:rFonts w:hint="eastAsia" w:ascii="仿宋_GB2312" w:eastAsia="仿宋_GB2312"/>
          <w:sz w:val="32"/>
          <w:szCs w:val="32"/>
        </w:rPr>
        <w:t>发明</w:t>
      </w:r>
      <w:r>
        <w:rPr>
          <w:rFonts w:ascii="仿宋_GB2312" w:eastAsia="仿宋_GB2312"/>
          <w:sz w:val="32"/>
          <w:szCs w:val="32"/>
        </w:rPr>
        <w:t>专利授权</w:t>
      </w:r>
      <w:r>
        <w:rPr>
          <w:rFonts w:hint="eastAsia" w:ascii="仿宋_GB2312" w:eastAsia="仿宋_GB2312"/>
          <w:sz w:val="32"/>
          <w:szCs w:val="32"/>
        </w:rPr>
        <w:t>、</w:t>
      </w:r>
      <w:r>
        <w:rPr>
          <w:rFonts w:ascii="仿宋_GB2312" w:eastAsia="仿宋_GB2312"/>
          <w:sz w:val="32"/>
          <w:szCs w:val="32"/>
        </w:rPr>
        <w:t>PCT申请</w:t>
      </w:r>
      <w:r>
        <w:rPr>
          <w:rFonts w:hint="eastAsia" w:ascii="仿宋_GB2312" w:eastAsia="仿宋_GB2312"/>
          <w:sz w:val="32"/>
          <w:szCs w:val="32"/>
        </w:rPr>
        <w:t>量清单；</w:t>
      </w:r>
    </w:p>
    <w:p>
      <w:pPr>
        <w:snapToGri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知识产权运用：</w:t>
      </w:r>
    </w:p>
    <w:p>
      <w:pPr>
        <w:snapToGrid w:val="0"/>
        <w:spacing w:line="560" w:lineRule="exact"/>
        <w:ind w:firstLine="640" w:firstLineChars="200"/>
        <w:rPr>
          <w:rFonts w:ascii="仿宋_GB2312" w:eastAsia="仿宋_GB2312"/>
          <w:sz w:val="32"/>
          <w:szCs w:val="32"/>
        </w:rPr>
      </w:pPr>
      <w:r>
        <w:rPr>
          <w:rFonts w:ascii="仿宋_GB2312" w:eastAsia="仿宋_GB2312"/>
          <w:sz w:val="32"/>
          <w:szCs w:val="32"/>
        </w:rPr>
        <w:t>提交20</w:t>
      </w:r>
      <w:r>
        <w:rPr>
          <w:rFonts w:ascii="仿宋_GB2312" w:eastAsia="仿宋_GB2312"/>
          <w:color w:val="auto"/>
          <w:sz w:val="32"/>
          <w:szCs w:val="32"/>
        </w:rPr>
        <w:t>23年</w:t>
      </w:r>
      <w:r>
        <w:rPr>
          <w:rFonts w:hint="eastAsia" w:ascii="仿宋_GB2312" w:eastAsia="仿宋_GB2312"/>
          <w:color w:val="auto"/>
          <w:sz w:val="32"/>
          <w:szCs w:val="32"/>
          <w:lang w:eastAsia="zh-CN"/>
        </w:rPr>
        <w:t>专利产品备案情况</w:t>
      </w:r>
      <w:r>
        <w:rPr>
          <w:rFonts w:ascii="仿宋_GB2312" w:hAnsi="宋体" w:eastAsia="仿宋_GB2312" w:cs="宋体"/>
          <w:color w:val="auto"/>
          <w:kern w:val="0"/>
          <w:sz w:val="32"/>
          <w:szCs w:val="32"/>
        </w:rPr>
        <w:t>；</w:t>
      </w:r>
      <w:r>
        <w:rPr>
          <w:rFonts w:hint="eastAsia" w:ascii="仿宋_GB2312" w:eastAsia="仿宋_GB2312"/>
          <w:sz w:val="32"/>
          <w:szCs w:val="32"/>
        </w:rPr>
        <w:t>2023年度</w:t>
      </w:r>
      <w:r>
        <w:rPr>
          <w:rFonts w:ascii="仿宋_GB2312" w:eastAsia="仿宋_GB2312"/>
          <w:sz w:val="32"/>
          <w:szCs w:val="32"/>
        </w:rPr>
        <w:t>开展的知识产权</w:t>
      </w:r>
      <w:r>
        <w:rPr>
          <w:rFonts w:hint="eastAsia" w:ascii="仿宋_GB2312" w:eastAsia="仿宋_GB2312"/>
          <w:sz w:val="32"/>
          <w:szCs w:val="32"/>
        </w:rPr>
        <w:t>转让、许可、作价入股、质押融资</w:t>
      </w:r>
      <w:r>
        <w:rPr>
          <w:rFonts w:ascii="仿宋_GB2312" w:eastAsia="仿宋_GB2312"/>
          <w:sz w:val="32"/>
          <w:szCs w:val="32"/>
        </w:rPr>
        <w:t>、证券化</w:t>
      </w:r>
      <w:r>
        <w:rPr>
          <w:rFonts w:hint="eastAsia" w:ascii="仿宋_GB2312" w:eastAsia="仿宋_GB2312"/>
          <w:sz w:val="32"/>
          <w:szCs w:val="32"/>
        </w:rPr>
        <w:t>等成果转化的</w:t>
      </w:r>
      <w:r>
        <w:rPr>
          <w:rFonts w:ascii="仿宋_GB2312" w:eastAsia="仿宋_GB2312"/>
          <w:sz w:val="32"/>
          <w:szCs w:val="32"/>
        </w:rPr>
        <w:t>清单</w:t>
      </w:r>
      <w:r>
        <w:rPr>
          <w:rFonts w:hint="eastAsia" w:ascii="仿宋_GB2312" w:eastAsia="仿宋_GB2312"/>
          <w:sz w:val="32"/>
          <w:szCs w:val="32"/>
        </w:rPr>
        <w:t>，</w:t>
      </w:r>
      <w:r>
        <w:rPr>
          <w:rFonts w:ascii="仿宋_GB2312" w:eastAsia="仿宋_GB2312"/>
          <w:sz w:val="32"/>
          <w:szCs w:val="32"/>
        </w:rPr>
        <w:t>并</w:t>
      </w:r>
      <w:r>
        <w:rPr>
          <w:rFonts w:hint="eastAsia" w:ascii="仿宋_GB2312" w:eastAsia="仿宋_GB2312"/>
          <w:sz w:val="32"/>
          <w:szCs w:val="32"/>
        </w:rPr>
        <w:t>提供</w:t>
      </w:r>
      <w:r>
        <w:rPr>
          <w:rFonts w:ascii="仿宋_GB2312" w:eastAsia="仿宋_GB2312"/>
          <w:sz w:val="32"/>
          <w:szCs w:val="32"/>
        </w:rPr>
        <w:t>相关</w:t>
      </w:r>
      <w:r>
        <w:rPr>
          <w:rFonts w:hint="eastAsia" w:ascii="仿宋_GB2312" w:eastAsia="仿宋_GB2312"/>
          <w:sz w:val="32"/>
          <w:szCs w:val="32"/>
        </w:rPr>
        <w:t>的协议</w:t>
      </w:r>
      <w:r>
        <w:rPr>
          <w:rFonts w:ascii="仿宋_GB2312" w:eastAsia="仿宋_GB2312"/>
          <w:sz w:val="32"/>
          <w:szCs w:val="32"/>
        </w:rPr>
        <w:t>及</w:t>
      </w:r>
      <w:r>
        <w:rPr>
          <w:rFonts w:hint="eastAsia" w:ascii="仿宋_GB2312" w:eastAsia="仿宋_GB2312"/>
          <w:sz w:val="32"/>
          <w:szCs w:val="32"/>
        </w:rPr>
        <w:t>备案（登记）佐证材料；</w:t>
      </w:r>
    </w:p>
    <w:p>
      <w:pPr>
        <w:snapToGrid w:val="0"/>
        <w:spacing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年</w:t>
      </w: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获得</w:t>
      </w:r>
      <w:r>
        <w:rPr>
          <w:rFonts w:ascii="仿宋_GB2312" w:hAnsi="宋体" w:eastAsia="仿宋_GB2312" w:cs="宋体"/>
          <w:color w:val="000000"/>
          <w:kern w:val="0"/>
          <w:sz w:val="32"/>
          <w:szCs w:val="32"/>
        </w:rPr>
        <w:t>中国/广东省/深圳</w:t>
      </w:r>
      <w:r>
        <w:rPr>
          <w:rFonts w:hint="eastAsia" w:ascii="仿宋_GB2312" w:hAnsi="宋体" w:eastAsia="仿宋_GB2312" w:cs="宋体"/>
          <w:color w:val="000000"/>
          <w:kern w:val="0"/>
          <w:sz w:val="32"/>
          <w:szCs w:val="32"/>
        </w:rPr>
        <w:t>市专利奖、中国商标金奖、中国版权金奖</w:t>
      </w:r>
      <w:r>
        <w:rPr>
          <w:rFonts w:ascii="仿宋_GB2312" w:hAnsi="宋体" w:eastAsia="仿宋_GB2312" w:cs="宋体"/>
          <w:color w:val="000000"/>
          <w:kern w:val="0"/>
          <w:sz w:val="32"/>
          <w:szCs w:val="32"/>
        </w:rPr>
        <w:t>获奖</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w:t>
      </w:r>
      <w:r>
        <w:rPr>
          <w:rFonts w:hint="eastAsia" w:ascii="仿宋_GB2312" w:hAnsi="宋体" w:eastAsia="仿宋_GB2312" w:cs="宋体"/>
          <w:b w:val="0"/>
          <w:color w:val="000000"/>
          <w:kern w:val="0"/>
          <w:sz w:val="32"/>
          <w:szCs w:val="32"/>
          <w:highlight w:val="none"/>
          <w:lang w:val="en-US" w:eastAsia="zh-CN" w:bidi="ar-SA"/>
        </w:rPr>
        <w:t>提供对应的</w:t>
      </w:r>
      <w:r>
        <w:rPr>
          <w:rFonts w:hint="default" w:ascii="仿宋_GB2312" w:hAnsi="宋体" w:eastAsia="仿宋_GB2312" w:cs="宋体"/>
          <w:b w:val="0"/>
          <w:color w:val="000000"/>
          <w:kern w:val="0"/>
          <w:sz w:val="32"/>
          <w:szCs w:val="32"/>
          <w:highlight w:val="none"/>
          <w:lang w:eastAsia="zh-CN" w:bidi="ar-SA"/>
        </w:rPr>
        <w:t>佐证</w:t>
      </w:r>
      <w:r>
        <w:rPr>
          <w:rFonts w:hint="eastAsia" w:ascii="仿宋_GB2312" w:hAnsi="宋体" w:eastAsia="仿宋_GB2312" w:cs="宋体"/>
          <w:b w:val="0"/>
          <w:color w:val="000000"/>
          <w:kern w:val="0"/>
          <w:sz w:val="32"/>
          <w:szCs w:val="32"/>
          <w:highlight w:val="none"/>
          <w:lang w:val="en-US" w:eastAsia="zh-CN" w:bidi="ar-SA"/>
        </w:rPr>
        <w:t>材料</w:t>
      </w:r>
      <w:r>
        <w:rPr>
          <w:rFonts w:hint="eastAsia" w:ascii="仿宋_GB2312" w:hAnsi="宋体" w:eastAsia="仿宋_GB2312" w:cs="宋体"/>
          <w:color w:val="000000"/>
          <w:kern w:val="0"/>
          <w:sz w:val="32"/>
          <w:szCs w:val="32"/>
        </w:rPr>
        <w:t>；</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提交其他申请人认为可证明知识产权运营工作取得较好成效的相关材料。</w:t>
      </w:r>
    </w:p>
    <w:p>
      <w:pPr>
        <w:snapToGrid w:val="0"/>
        <w:spacing w:line="560" w:lineRule="exact"/>
        <w:ind w:firstLine="642" w:firstLineChars="200"/>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3</w:t>
      </w:r>
      <w:r>
        <w:rPr>
          <w:rFonts w:hint="eastAsia" w:ascii="仿宋_GB2312" w:hAnsi="宋体" w:eastAsia="仿宋_GB2312" w:cs="宋体"/>
          <w:b/>
          <w:bCs/>
          <w:color w:val="000000"/>
          <w:kern w:val="0"/>
          <w:sz w:val="32"/>
          <w:szCs w:val="32"/>
        </w:rPr>
        <w:t>.</w:t>
      </w:r>
      <w:r>
        <w:rPr>
          <w:rFonts w:ascii="仿宋_GB2312" w:hAnsi="宋体" w:eastAsia="仿宋_GB2312" w:cs="宋体"/>
          <w:b/>
          <w:bCs/>
          <w:color w:val="000000"/>
          <w:kern w:val="0"/>
          <w:sz w:val="32"/>
          <w:szCs w:val="32"/>
        </w:rPr>
        <w:t>知识产权保护：</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1.提交</w:t>
      </w:r>
      <w:r>
        <w:rPr>
          <w:rFonts w:hint="eastAsia" w:ascii="仿宋_GB2312" w:hAnsi="宋体" w:eastAsia="仿宋_GB2312" w:cs="宋体"/>
          <w:color w:val="000000"/>
          <w:kern w:val="0"/>
          <w:sz w:val="32"/>
          <w:szCs w:val="32"/>
          <w:lang w:val="en-US" w:eastAsia="zh-CN"/>
        </w:rPr>
        <w:t>2022年-2023年</w:t>
      </w:r>
      <w:r>
        <w:rPr>
          <w:rFonts w:hint="eastAsia" w:ascii="仿宋_GB2312" w:hAnsi="宋体" w:eastAsia="仿宋_GB2312" w:cs="宋体"/>
          <w:color w:val="000000"/>
          <w:kern w:val="0"/>
          <w:sz w:val="32"/>
          <w:szCs w:val="32"/>
        </w:rPr>
        <w:t>有效处理国内国际知识产权产权纠纷获得赔偿（补偿）或者避免损失</w:t>
      </w:r>
      <w:r>
        <w:rPr>
          <w:rFonts w:hint="eastAsia" w:ascii="仿宋_GB2312" w:eastAsia="仿宋_GB2312" w:cs="Times New Roman"/>
          <w:b w:val="0"/>
          <w:kern w:val="2"/>
          <w:sz w:val="32"/>
          <w:szCs w:val="32"/>
          <w:highlight w:val="none"/>
          <w:lang w:val="en-US" w:eastAsia="zh-CN" w:bidi="ar-SA"/>
        </w:rPr>
        <w:t>的典型案例的佐证材料</w:t>
      </w:r>
      <w:r>
        <w:rPr>
          <w:rFonts w:hint="eastAsia" w:ascii="仿宋_GB2312" w:hAnsi="宋体" w:eastAsia="仿宋_GB2312" w:cs="宋体"/>
          <w:color w:val="000000"/>
          <w:kern w:val="0"/>
          <w:sz w:val="32"/>
          <w:szCs w:val="32"/>
        </w:rPr>
        <w:t>，形式包括但不限于行政裁决、司法诉讼、仲裁、和解等，提供相应的生效法律文书和相关材料；</w:t>
      </w:r>
    </w:p>
    <w:p>
      <w:pPr>
        <w:pStyle w:val="2"/>
        <w:ind w:firstLine="643"/>
        <w:rPr>
          <w:rFonts w:ascii="仿宋_GB2312" w:eastAsia="仿宋_GB2312"/>
          <w:b w:val="0"/>
          <w:bCs/>
          <w:sz w:val="32"/>
          <w:szCs w:val="32"/>
        </w:rPr>
      </w:pPr>
      <w:r>
        <w:rPr>
          <w:rFonts w:ascii="仿宋_GB2312" w:hAnsi="宋体" w:eastAsia="仿宋_GB2312" w:cs="宋体"/>
          <w:b w:val="0"/>
          <w:bCs/>
          <w:color w:val="000000"/>
          <w:sz w:val="32"/>
          <w:szCs w:val="32"/>
        </w:rPr>
        <w:t>2.提交申请人</w:t>
      </w:r>
      <w:r>
        <w:rPr>
          <w:rFonts w:hint="default" w:ascii="仿宋_GB2312" w:eastAsia="仿宋_GB2312"/>
          <w:b w:val="0"/>
          <w:bCs/>
          <w:sz w:val="32"/>
          <w:szCs w:val="32"/>
        </w:rPr>
        <w:t>建立和完善</w:t>
      </w:r>
      <w:r>
        <w:rPr>
          <w:rFonts w:ascii="仿宋_GB2312" w:eastAsia="仿宋_GB2312"/>
          <w:b w:val="0"/>
          <w:bCs/>
          <w:sz w:val="32"/>
          <w:szCs w:val="32"/>
        </w:rPr>
        <w:t>知识产权保护体系</w:t>
      </w:r>
      <w:r>
        <w:rPr>
          <w:rFonts w:hint="default" w:ascii="仿宋_GB2312" w:eastAsia="仿宋_GB2312"/>
          <w:b w:val="0"/>
          <w:bCs/>
          <w:sz w:val="32"/>
          <w:szCs w:val="32"/>
        </w:rPr>
        <w:t>的相关材料</w:t>
      </w:r>
      <w:r>
        <w:rPr>
          <w:rFonts w:ascii="仿宋_GB2312" w:eastAsia="仿宋_GB2312"/>
          <w:b w:val="0"/>
          <w:bCs/>
          <w:sz w:val="32"/>
          <w:szCs w:val="32"/>
        </w:rPr>
        <w:t>；</w:t>
      </w:r>
    </w:p>
    <w:p>
      <w:pPr>
        <w:pStyle w:val="2"/>
        <w:ind w:firstLine="640"/>
        <w:rPr>
          <w:rFonts w:ascii="仿宋_GB2312" w:hAnsi="宋体" w:eastAsia="仿宋_GB2312" w:cs="宋体"/>
          <w:color w:val="000000"/>
          <w:kern w:val="0"/>
          <w:sz w:val="32"/>
          <w:szCs w:val="32"/>
        </w:rPr>
      </w:pPr>
      <w:r>
        <w:rPr>
          <w:rFonts w:ascii="仿宋_GB2312" w:eastAsia="仿宋_GB2312"/>
          <w:b w:val="0"/>
          <w:kern w:val="2"/>
          <w:sz w:val="32"/>
          <w:szCs w:val="32"/>
        </w:rPr>
        <w:t>3</w:t>
      </w:r>
      <w:r>
        <w:rPr>
          <w:rFonts w:hint="default" w:ascii="仿宋_GB2312" w:eastAsia="仿宋_GB2312"/>
          <w:b w:val="0"/>
          <w:kern w:val="2"/>
          <w:sz w:val="32"/>
          <w:szCs w:val="32"/>
        </w:rPr>
        <w:t>.</w:t>
      </w:r>
      <w:r>
        <w:rPr>
          <w:rFonts w:hint="eastAsia" w:ascii="仿宋_GB2312" w:eastAsia="仿宋_GB2312"/>
          <w:b w:val="0"/>
          <w:kern w:val="2"/>
          <w:sz w:val="32"/>
          <w:szCs w:val="32"/>
          <w:lang w:eastAsia="zh-CN"/>
        </w:rPr>
        <w:t>提交</w:t>
      </w:r>
      <w:r>
        <w:rPr>
          <w:rFonts w:hint="eastAsia" w:ascii="仿宋_GB2312" w:eastAsia="仿宋_GB2312"/>
          <w:b w:val="0"/>
          <w:kern w:val="2"/>
          <w:sz w:val="32"/>
          <w:szCs w:val="32"/>
          <w:lang w:val="en-US" w:eastAsia="zh-CN"/>
        </w:rPr>
        <w:t>2022年-2023年</w:t>
      </w:r>
      <w:r>
        <w:rPr>
          <w:rFonts w:ascii="仿宋_GB2312" w:eastAsia="仿宋_GB2312"/>
          <w:b w:val="0"/>
          <w:kern w:val="2"/>
          <w:sz w:val="32"/>
          <w:szCs w:val="32"/>
        </w:rPr>
        <w:t>知识产权侵权预警和风险监控机制</w:t>
      </w:r>
      <w:r>
        <w:rPr>
          <w:rFonts w:hint="default" w:ascii="仿宋_GB2312" w:eastAsia="仿宋_GB2312"/>
          <w:b w:val="0"/>
          <w:kern w:val="2"/>
          <w:sz w:val="32"/>
          <w:szCs w:val="32"/>
        </w:rPr>
        <w:t>及</w:t>
      </w:r>
      <w:r>
        <w:rPr>
          <w:rFonts w:ascii="仿宋_GB2312" w:eastAsia="仿宋_GB2312"/>
          <w:b w:val="0"/>
          <w:kern w:val="2"/>
          <w:sz w:val="32"/>
          <w:szCs w:val="32"/>
        </w:rPr>
        <w:t>开展知识产权尽职调查、定期开展知识产权风险测评</w:t>
      </w:r>
      <w:r>
        <w:rPr>
          <w:rFonts w:hint="default" w:ascii="仿宋_GB2312" w:eastAsia="仿宋_GB2312"/>
          <w:b w:val="0"/>
          <w:kern w:val="2"/>
          <w:sz w:val="32"/>
          <w:szCs w:val="32"/>
        </w:rPr>
        <w:t>等相关材料。</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（四）第三方机构依法出具的知识产权投入审计报告。</w:t>
      </w:r>
    </w:p>
    <w:p>
      <w:pPr>
        <w:numPr>
          <w:ilvl w:val="0"/>
          <w:numId w:val="0"/>
        </w:numPr>
        <w:snapToGrid w:val="0"/>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提交</w:t>
      </w:r>
      <w:r>
        <w:rPr>
          <w:rFonts w:ascii="仿宋_GB2312" w:eastAsia="仿宋_GB2312"/>
          <w:sz w:val="32"/>
          <w:szCs w:val="32"/>
        </w:rPr>
        <w:t>有资质的第三方机构</w:t>
      </w:r>
      <w:r>
        <w:rPr>
          <w:rFonts w:hint="eastAsia" w:ascii="仿宋_GB2312" w:eastAsia="仿宋_GB2312"/>
          <w:sz w:val="32"/>
          <w:szCs w:val="32"/>
        </w:rPr>
        <w:t>依法出具的知识产权投入</w:t>
      </w:r>
      <w:r>
        <w:rPr>
          <w:rFonts w:ascii="仿宋_GB2312" w:eastAsia="仿宋_GB2312"/>
          <w:sz w:val="32"/>
          <w:szCs w:val="32"/>
        </w:rPr>
        <w:t>审计</w:t>
      </w:r>
      <w:r>
        <w:rPr>
          <w:rFonts w:hint="eastAsia" w:ascii="仿宋_GB2312" w:eastAsia="仿宋_GB2312"/>
          <w:sz w:val="32"/>
          <w:szCs w:val="32"/>
        </w:rPr>
        <w:t>报告，其中需明确2023年度对知识产权工作的投入（含知识产权人力成本、知识产权教育培训、知识产权信息化建设、知识产权保护/维权、知识产权申请官费及代理费、知识产权专业咨询等相关费用）和研发投入具体金额</w:t>
      </w:r>
      <w:r>
        <w:rPr>
          <w:rFonts w:ascii="仿宋_GB2312" w:eastAsia="仿宋_GB2312"/>
          <w:sz w:val="32"/>
          <w:szCs w:val="32"/>
        </w:rPr>
        <w:t>及占比</w:t>
      </w:r>
      <w:r>
        <w:rPr>
          <w:rFonts w:hint="eastAsia" w:ascii="仿宋_GB2312" w:eastAsia="仿宋_GB2312"/>
          <w:sz w:val="32"/>
          <w:szCs w:val="32"/>
        </w:rPr>
        <w:t>。</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以上第（一）至第（四）项全部申请材料应当确保页面文字、公章、签名等实质性内容清晰可辨，各页面主要内容均为正向，不可横置或倒置。</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000000"/>
          <w:sz w:val="32"/>
          <w:szCs w:val="32"/>
        </w:rPr>
      </w:pPr>
      <w:r>
        <w:rPr>
          <w:rFonts w:hint="eastAsia" w:ascii="楷体_GB2312" w:eastAsia="楷体_GB2312"/>
          <w:b/>
          <w:sz w:val="32"/>
          <w:szCs w:val="32"/>
        </w:rPr>
        <w:t>（二）受理时间：</w:t>
      </w:r>
      <w:r>
        <w:rPr>
          <w:rFonts w:hint="eastAsia" w:ascii="仿宋_GB2312" w:hAnsi="Times New Roman" w:eastAsia="仿宋_GB2312"/>
          <w:color w:val="000000"/>
          <w:sz w:val="32"/>
          <w:szCs w:val="32"/>
        </w:rPr>
        <w:t>2024年</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1</w:t>
      </w:r>
      <w:r>
        <w:rPr>
          <w:rFonts w:hint="default"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日9:00至2024年</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31</w:t>
      </w:r>
      <w:r>
        <w:rPr>
          <w:rFonts w:hint="eastAsia" w:ascii="仿宋_GB2312" w:hAnsi="Times New Roman" w:eastAsia="仿宋_GB2312"/>
          <w:color w:val="000000"/>
          <w:sz w:val="32"/>
          <w:szCs w:val="32"/>
        </w:rPr>
        <w:t>日18:00</w:t>
      </w:r>
      <w:r>
        <w:rPr>
          <w:rFonts w:hint="eastAsia" w:ascii="仿宋_GB2312" w:eastAsia="仿宋_GB2312"/>
          <w:color w:val="000000"/>
          <w:sz w:val="32"/>
          <w:szCs w:val="32"/>
        </w:rPr>
        <w:t>。</w:t>
      </w:r>
    </w:p>
    <w:p>
      <w:pPr>
        <w:numPr>
          <w:ilvl w:val="0"/>
          <w:numId w:val="0"/>
        </w:numPr>
        <w:snapToGrid w:val="0"/>
        <w:spacing w:line="560" w:lineRule="exact"/>
        <w:ind w:firstLine="642" w:firstLineChars="200"/>
        <w:rPr>
          <w:rFonts w:ascii="楷体_GB2312" w:eastAsia="楷体_GB2312"/>
          <w:b/>
          <w:sz w:val="32"/>
          <w:szCs w:val="32"/>
        </w:rPr>
      </w:pPr>
      <w:r>
        <w:rPr>
          <w:rFonts w:hint="eastAsia" w:ascii="楷体_GB2312" w:eastAsia="楷体_GB2312"/>
          <w:b/>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本项目实行网上在线申报，申报人需进入深圳市财政专项资金统一管理平台</w:t>
      </w:r>
      <w:r>
        <w:rPr>
          <w:rFonts w:hint="eastAsia" w:ascii="仿宋_GB2312" w:eastAsia="仿宋_GB2312"/>
          <w:color w:val="auto"/>
          <w:kern w:val="0"/>
          <w:sz w:val="32"/>
          <w:szCs w:val="32"/>
        </w:rPr>
        <w:t>（</w:t>
      </w:r>
      <w:r>
        <w:rPr>
          <w:rFonts w:hint="eastAsia" w:ascii="仿宋_GB2312" w:eastAsia="仿宋_GB2312"/>
          <w:color w:val="auto"/>
          <w:sz w:val="32"/>
          <w:szCs w:val="32"/>
        </w:rPr>
        <w:t>https://cqt.szfb.sz.gov.cn/#/home）。</w:t>
      </w:r>
      <w:r>
        <w:rPr>
          <w:rFonts w:hint="eastAsia" w:ascii="仿宋_GB2312" w:eastAsia="仿宋_GB2312"/>
          <w:sz w:val="32"/>
          <w:szCs w:val="32"/>
        </w:rPr>
        <w:t>该平台已与广东政务服务网信息进行对接，申请人可使用广东政务服务网账户密码进行登录，在搜索栏搜索本项目名称，选中后进入申报页面。</w:t>
      </w:r>
      <w:r>
        <w:rPr>
          <w:rFonts w:ascii="仿宋_GB2312" w:eastAsia="仿宋_GB2312"/>
          <w:kern w:val="0"/>
          <w:sz w:val="32"/>
          <w:szCs w:val="32"/>
        </w:rPr>
        <w:t>将本指南要求的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numPr>
          <w:ilvl w:val="0"/>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cs="仿宋_GB2312"/>
          <w:bCs/>
          <w:sz w:val="32"/>
          <w:szCs w:val="32"/>
        </w:rPr>
        <w:t>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办理程序与注意事项</w:t>
      </w:r>
    </w:p>
    <w:p>
      <w:pPr>
        <w:pStyle w:val="18"/>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ascii="仿宋_GB2312" w:eastAsia="仿宋_GB2312"/>
          <w:sz w:val="32"/>
        </w:rPr>
        <w:t>会同</w:t>
      </w:r>
      <w:r>
        <w:rPr>
          <w:rFonts w:hint="eastAsia" w:ascii="仿宋_GB2312" w:eastAsia="仿宋_GB2312"/>
          <w:sz w:val="32"/>
        </w:rPr>
        <w:t>相关部门核对数据、核查诚信情况</w:t>
      </w:r>
      <w:r>
        <w:rPr>
          <w:rFonts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pStyle w:val="18"/>
        <w:numPr>
          <w:ilvl w:val="0"/>
          <w:numId w:val="0"/>
        </w:numPr>
        <w:snapToGrid w:val="0"/>
        <w:spacing w:line="560" w:lineRule="exact"/>
        <w:ind w:firstLine="642" w:firstLineChars="200"/>
        <w:rPr>
          <w:rFonts w:ascii="楷体_GB2312" w:eastAsia="楷体_GB2312"/>
          <w:sz w:val="32"/>
        </w:rPr>
      </w:pPr>
      <w:r>
        <w:rPr>
          <w:rFonts w:hint="eastAsia" w:ascii="楷体_GB2312" w:eastAsia="楷体_GB2312"/>
          <w:b/>
          <w:sz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ascii="仿宋_GB2312" w:eastAsia="仿宋_GB2312"/>
          <w:b w:val="0"/>
          <w:bCs/>
          <w:sz w:val="32"/>
          <w:szCs w:val="32"/>
        </w:rPr>
        <w:t>申请人广东政务服务网账户等级须达到五级（原</w:t>
      </w:r>
      <w:r>
        <w:rPr>
          <w:rFonts w:hint="default" w:ascii="仿宋_GB2312" w:eastAsia="仿宋_GB2312"/>
          <w:b w:val="0"/>
          <w:bCs/>
          <w:sz w:val="32"/>
          <w:szCs w:val="32"/>
        </w:rPr>
        <w:t>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hAnsi="仿宋_GB2312" w:eastAsia="仿宋_GB2312" w:cs="仿宋_GB2312"/>
          <w:sz w:val="32"/>
          <w:szCs w:val="32"/>
        </w:rPr>
        <w:t>深圳市知识产权主管部门对申请材料进行受理和初审，申请材料不完善的，限期予以补正；申请人应按要求进行补正，未按要求补正材料或补正材料未通过审核的，不予资助或奖励。</w:t>
      </w:r>
    </w:p>
    <w:p>
      <w:pPr>
        <w:numPr>
          <w:ilvl w:val="0"/>
          <w:numId w:val="0"/>
        </w:num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七条规定：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深圳市市场监督管理局知识产权领域专项资金操作规程》第三十八条规定：受委托的第三方审计机构或专业机构在审计或核验过程中，存在弄虚作假、隐瞒事实真相或与受资助单位串通作弊并出具相关报告情形的，按照有关规定追究责任。</w:t>
      </w:r>
    </w:p>
    <w:p>
      <w:pPr>
        <w:pStyle w:val="3"/>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（四）根据上述规定，申请人申请资助时必须作出合规承诺（在申报系统中操作），否则不予受理。</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3"/>
        <w:numPr>
          <w:ilvl w:val="0"/>
          <w:numId w:val="1"/>
        </w:numPr>
        <w:snapToGrid w:val="0"/>
        <w:spacing w:before="0" w:beforeAutospacing="0" w:after="0" w:afterAutospacing="0" w:line="560" w:lineRule="exact"/>
        <w:ind w:left="1288" w:hanging="658"/>
        <w:jc w:val="both"/>
        <w:rPr>
          <w:rFonts w:hint="default" w:ascii="Times New Roman" w:hAnsi="Times New Roman" w:eastAsia="黑体"/>
          <w:b w:val="0"/>
          <w:sz w:val="32"/>
        </w:rPr>
      </w:pPr>
      <w:r>
        <w:rPr>
          <w:rFonts w:ascii="Times New Roman" w:hAnsi="Times New Roman" w:eastAsia="黑体"/>
          <w:b w:val="0"/>
          <w:sz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pacing w:beforeLines="100"/>
        <w:rPr>
          <w:rFonts w:ascii="仿宋_GB2312" w:hAnsi="宋体" w:eastAsia="仿宋_GB2312" w:cs="宋体"/>
          <w:color w:val="000000"/>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6730B"/>
    <w:multiLevelType w:val="singleLevel"/>
    <w:tmpl w:val="ABF6730B"/>
    <w:lvl w:ilvl="0" w:tentative="0">
      <w:start w:val="1"/>
      <w:numFmt w:val="chineseCounting"/>
      <w:suff w:val="nothing"/>
      <w:lvlText w:val="（%1）"/>
      <w:lvlJc w:val="left"/>
      <w:rPr>
        <w:rFonts w:hint="eastAsia"/>
      </w:rPr>
    </w:lvl>
  </w:abstractNum>
  <w:abstractNum w:abstractNumId="1">
    <w:nsid w:val="E1683D1A"/>
    <w:multiLevelType w:val="singleLevel"/>
    <w:tmpl w:val="E1683D1A"/>
    <w:lvl w:ilvl="0" w:tentative="0">
      <w:start w:val="1"/>
      <w:numFmt w:val="chineseCounting"/>
      <w:suff w:val="nothing"/>
      <w:lvlText w:val="（%1）"/>
      <w:lvlJc w:val="left"/>
      <w:rPr>
        <w:rFonts w:hint="eastAsia"/>
      </w:rPr>
    </w:lvl>
  </w:abstractNum>
  <w:abstractNum w:abstractNumId="2">
    <w:nsid w:val="78DF5BA5"/>
    <w:multiLevelType w:val="multilevel"/>
    <w:tmpl w:val="78DF5BA5"/>
    <w:lvl w:ilvl="0" w:tentative="0">
      <w:start w:val="1"/>
      <w:numFmt w:val="japaneseCounting"/>
      <w:lvlText w:val="%1、"/>
      <w:lvlJc w:val="left"/>
      <w:pPr>
        <w:ind w:left="2351"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DFF672B"/>
    <w:rsid w:val="000075EA"/>
    <w:rsid w:val="00011052"/>
    <w:rsid w:val="000155CD"/>
    <w:rsid w:val="00056988"/>
    <w:rsid w:val="000707FD"/>
    <w:rsid w:val="00074F5A"/>
    <w:rsid w:val="00080DBD"/>
    <w:rsid w:val="000818B7"/>
    <w:rsid w:val="00095E1A"/>
    <w:rsid w:val="000966E2"/>
    <w:rsid w:val="000A089D"/>
    <w:rsid w:val="000A76A1"/>
    <w:rsid w:val="000C1DDF"/>
    <w:rsid w:val="000D22F4"/>
    <w:rsid w:val="000D5E16"/>
    <w:rsid w:val="000F0FD6"/>
    <w:rsid w:val="000F3250"/>
    <w:rsid w:val="001339C9"/>
    <w:rsid w:val="00133AB4"/>
    <w:rsid w:val="00136E1E"/>
    <w:rsid w:val="001411BF"/>
    <w:rsid w:val="00152BA7"/>
    <w:rsid w:val="00166E1D"/>
    <w:rsid w:val="00175046"/>
    <w:rsid w:val="00191396"/>
    <w:rsid w:val="00194144"/>
    <w:rsid w:val="001B00B0"/>
    <w:rsid w:val="001C2AAA"/>
    <w:rsid w:val="001E0399"/>
    <w:rsid w:val="001E5602"/>
    <w:rsid w:val="0021653D"/>
    <w:rsid w:val="0022057B"/>
    <w:rsid w:val="00222CC9"/>
    <w:rsid w:val="002232DB"/>
    <w:rsid w:val="00223EC7"/>
    <w:rsid w:val="002431BA"/>
    <w:rsid w:val="00245566"/>
    <w:rsid w:val="00257D54"/>
    <w:rsid w:val="00277C56"/>
    <w:rsid w:val="00284206"/>
    <w:rsid w:val="002933D8"/>
    <w:rsid w:val="002A60CA"/>
    <w:rsid w:val="002A6D59"/>
    <w:rsid w:val="002B1643"/>
    <w:rsid w:val="002C62A8"/>
    <w:rsid w:val="002E39EA"/>
    <w:rsid w:val="002E3B7E"/>
    <w:rsid w:val="002F3EE4"/>
    <w:rsid w:val="002F4B4C"/>
    <w:rsid w:val="002F5AC4"/>
    <w:rsid w:val="00301C3D"/>
    <w:rsid w:val="00303C07"/>
    <w:rsid w:val="00316591"/>
    <w:rsid w:val="0032210A"/>
    <w:rsid w:val="00326D49"/>
    <w:rsid w:val="003523CC"/>
    <w:rsid w:val="003747B2"/>
    <w:rsid w:val="00384286"/>
    <w:rsid w:val="003935CE"/>
    <w:rsid w:val="003A0DEC"/>
    <w:rsid w:val="003A17C4"/>
    <w:rsid w:val="003A66E4"/>
    <w:rsid w:val="003C1AA0"/>
    <w:rsid w:val="003C3EE4"/>
    <w:rsid w:val="003E18FB"/>
    <w:rsid w:val="003E5B4B"/>
    <w:rsid w:val="003E7271"/>
    <w:rsid w:val="00407E88"/>
    <w:rsid w:val="00407EFA"/>
    <w:rsid w:val="00421C14"/>
    <w:rsid w:val="00487450"/>
    <w:rsid w:val="004A17E6"/>
    <w:rsid w:val="004A7EBD"/>
    <w:rsid w:val="004B0957"/>
    <w:rsid w:val="004B68DA"/>
    <w:rsid w:val="004B6C09"/>
    <w:rsid w:val="005042ED"/>
    <w:rsid w:val="00506CDE"/>
    <w:rsid w:val="00540BBD"/>
    <w:rsid w:val="005447BD"/>
    <w:rsid w:val="00551E19"/>
    <w:rsid w:val="00573F50"/>
    <w:rsid w:val="00575E27"/>
    <w:rsid w:val="0058797F"/>
    <w:rsid w:val="005A7BDF"/>
    <w:rsid w:val="005B2337"/>
    <w:rsid w:val="005C3186"/>
    <w:rsid w:val="005C467A"/>
    <w:rsid w:val="005F17F1"/>
    <w:rsid w:val="00603E71"/>
    <w:rsid w:val="00605F5F"/>
    <w:rsid w:val="0060757B"/>
    <w:rsid w:val="00615E82"/>
    <w:rsid w:val="00625D21"/>
    <w:rsid w:val="00655CFF"/>
    <w:rsid w:val="00683BB3"/>
    <w:rsid w:val="006A1475"/>
    <w:rsid w:val="006B3FD5"/>
    <w:rsid w:val="006B4A2B"/>
    <w:rsid w:val="006B7AC9"/>
    <w:rsid w:val="006C5ECF"/>
    <w:rsid w:val="006D3202"/>
    <w:rsid w:val="006F42CD"/>
    <w:rsid w:val="00702A6C"/>
    <w:rsid w:val="00724836"/>
    <w:rsid w:val="00731F15"/>
    <w:rsid w:val="007322E6"/>
    <w:rsid w:val="007328E7"/>
    <w:rsid w:val="00743A93"/>
    <w:rsid w:val="00756785"/>
    <w:rsid w:val="00760811"/>
    <w:rsid w:val="0077249D"/>
    <w:rsid w:val="00791ED2"/>
    <w:rsid w:val="00794348"/>
    <w:rsid w:val="007A18F6"/>
    <w:rsid w:val="007B4988"/>
    <w:rsid w:val="007D739B"/>
    <w:rsid w:val="007F41B4"/>
    <w:rsid w:val="007F4E79"/>
    <w:rsid w:val="007F6353"/>
    <w:rsid w:val="00801E53"/>
    <w:rsid w:val="008234B7"/>
    <w:rsid w:val="00842B30"/>
    <w:rsid w:val="00843082"/>
    <w:rsid w:val="00870717"/>
    <w:rsid w:val="00872C07"/>
    <w:rsid w:val="008B32F0"/>
    <w:rsid w:val="008B4F47"/>
    <w:rsid w:val="008C0104"/>
    <w:rsid w:val="008E4B35"/>
    <w:rsid w:val="008F3C91"/>
    <w:rsid w:val="0090374B"/>
    <w:rsid w:val="00903D80"/>
    <w:rsid w:val="009079DF"/>
    <w:rsid w:val="009135BF"/>
    <w:rsid w:val="009300A4"/>
    <w:rsid w:val="009301AD"/>
    <w:rsid w:val="00930BE4"/>
    <w:rsid w:val="00941267"/>
    <w:rsid w:val="009930C1"/>
    <w:rsid w:val="009B3AFE"/>
    <w:rsid w:val="009B4D1C"/>
    <w:rsid w:val="009D1F64"/>
    <w:rsid w:val="009F54DB"/>
    <w:rsid w:val="00A0543D"/>
    <w:rsid w:val="00A077B9"/>
    <w:rsid w:val="00A140E3"/>
    <w:rsid w:val="00A33A89"/>
    <w:rsid w:val="00A341C0"/>
    <w:rsid w:val="00A35301"/>
    <w:rsid w:val="00A37221"/>
    <w:rsid w:val="00A419C2"/>
    <w:rsid w:val="00A62653"/>
    <w:rsid w:val="00A629D1"/>
    <w:rsid w:val="00A670D3"/>
    <w:rsid w:val="00A778C0"/>
    <w:rsid w:val="00A82E03"/>
    <w:rsid w:val="00A85668"/>
    <w:rsid w:val="00A903B4"/>
    <w:rsid w:val="00A9291C"/>
    <w:rsid w:val="00AA35A0"/>
    <w:rsid w:val="00AA58BF"/>
    <w:rsid w:val="00AB2216"/>
    <w:rsid w:val="00AC7505"/>
    <w:rsid w:val="00AE4664"/>
    <w:rsid w:val="00B1761D"/>
    <w:rsid w:val="00B22344"/>
    <w:rsid w:val="00B334BD"/>
    <w:rsid w:val="00B37417"/>
    <w:rsid w:val="00B44FE4"/>
    <w:rsid w:val="00BE50BB"/>
    <w:rsid w:val="00BE785A"/>
    <w:rsid w:val="00BF0655"/>
    <w:rsid w:val="00BF44BA"/>
    <w:rsid w:val="00C05823"/>
    <w:rsid w:val="00C06B29"/>
    <w:rsid w:val="00C40417"/>
    <w:rsid w:val="00C40441"/>
    <w:rsid w:val="00C7288C"/>
    <w:rsid w:val="00C75ED7"/>
    <w:rsid w:val="00CB190A"/>
    <w:rsid w:val="00CB6E5F"/>
    <w:rsid w:val="00CC6121"/>
    <w:rsid w:val="00CD0B7F"/>
    <w:rsid w:val="00CE0DB5"/>
    <w:rsid w:val="00CF3B68"/>
    <w:rsid w:val="00D04655"/>
    <w:rsid w:val="00D06022"/>
    <w:rsid w:val="00D0725E"/>
    <w:rsid w:val="00D354B6"/>
    <w:rsid w:val="00D37429"/>
    <w:rsid w:val="00D423B6"/>
    <w:rsid w:val="00D43628"/>
    <w:rsid w:val="00D46EF1"/>
    <w:rsid w:val="00D50E77"/>
    <w:rsid w:val="00D62982"/>
    <w:rsid w:val="00D829FA"/>
    <w:rsid w:val="00D85DCC"/>
    <w:rsid w:val="00D91647"/>
    <w:rsid w:val="00DC451B"/>
    <w:rsid w:val="00DE4A13"/>
    <w:rsid w:val="00DF4D1C"/>
    <w:rsid w:val="00E1639C"/>
    <w:rsid w:val="00E314D4"/>
    <w:rsid w:val="00E4671F"/>
    <w:rsid w:val="00E47EA5"/>
    <w:rsid w:val="00E65805"/>
    <w:rsid w:val="00E8022B"/>
    <w:rsid w:val="00E91941"/>
    <w:rsid w:val="00E91A47"/>
    <w:rsid w:val="00EA0841"/>
    <w:rsid w:val="00EB0407"/>
    <w:rsid w:val="00EB5072"/>
    <w:rsid w:val="00EC0ED8"/>
    <w:rsid w:val="00EE26E9"/>
    <w:rsid w:val="00F001DA"/>
    <w:rsid w:val="00F054AB"/>
    <w:rsid w:val="00F22530"/>
    <w:rsid w:val="00F3068D"/>
    <w:rsid w:val="00F31FBD"/>
    <w:rsid w:val="00F82EB9"/>
    <w:rsid w:val="00F95B32"/>
    <w:rsid w:val="00FA26C7"/>
    <w:rsid w:val="00FB1EC2"/>
    <w:rsid w:val="00FD6BC6"/>
    <w:rsid w:val="00FE6241"/>
    <w:rsid w:val="018D0FD1"/>
    <w:rsid w:val="02BD75DA"/>
    <w:rsid w:val="02E31526"/>
    <w:rsid w:val="04045835"/>
    <w:rsid w:val="042C3C51"/>
    <w:rsid w:val="046A7ED6"/>
    <w:rsid w:val="04D51108"/>
    <w:rsid w:val="058306E3"/>
    <w:rsid w:val="07403158"/>
    <w:rsid w:val="075330C6"/>
    <w:rsid w:val="083F3E5F"/>
    <w:rsid w:val="08B82572"/>
    <w:rsid w:val="09924A07"/>
    <w:rsid w:val="0AF67BED"/>
    <w:rsid w:val="0B3275E5"/>
    <w:rsid w:val="0BB86D78"/>
    <w:rsid w:val="0BDAB3B0"/>
    <w:rsid w:val="0BE4564F"/>
    <w:rsid w:val="0CBC6279"/>
    <w:rsid w:val="0D4F1CD8"/>
    <w:rsid w:val="0E7B583C"/>
    <w:rsid w:val="0F256C46"/>
    <w:rsid w:val="1063692C"/>
    <w:rsid w:val="113035E3"/>
    <w:rsid w:val="11FB6A92"/>
    <w:rsid w:val="11FC1280"/>
    <w:rsid w:val="14C352A9"/>
    <w:rsid w:val="14F12062"/>
    <w:rsid w:val="157F28DB"/>
    <w:rsid w:val="15AD6D51"/>
    <w:rsid w:val="170A192B"/>
    <w:rsid w:val="18435DBF"/>
    <w:rsid w:val="18801E67"/>
    <w:rsid w:val="19C75609"/>
    <w:rsid w:val="1A535EF2"/>
    <w:rsid w:val="1CDC2E3A"/>
    <w:rsid w:val="1FAE2883"/>
    <w:rsid w:val="21035308"/>
    <w:rsid w:val="217157F7"/>
    <w:rsid w:val="21B16DA5"/>
    <w:rsid w:val="22094A5C"/>
    <w:rsid w:val="22353B7B"/>
    <w:rsid w:val="24791EB4"/>
    <w:rsid w:val="24CE776A"/>
    <w:rsid w:val="24D27E69"/>
    <w:rsid w:val="25BF4CB2"/>
    <w:rsid w:val="260D7093"/>
    <w:rsid w:val="262B3650"/>
    <w:rsid w:val="263A731E"/>
    <w:rsid w:val="26FA33C0"/>
    <w:rsid w:val="27C15096"/>
    <w:rsid w:val="284233D5"/>
    <w:rsid w:val="295C7C47"/>
    <w:rsid w:val="2ABA6670"/>
    <w:rsid w:val="2AC96E45"/>
    <w:rsid w:val="2AD30592"/>
    <w:rsid w:val="2B7207B4"/>
    <w:rsid w:val="2C606974"/>
    <w:rsid w:val="2E6260A8"/>
    <w:rsid w:val="2ECD7EE4"/>
    <w:rsid w:val="2FAF23ED"/>
    <w:rsid w:val="2FD96459"/>
    <w:rsid w:val="2FFF94A7"/>
    <w:rsid w:val="31800B55"/>
    <w:rsid w:val="31DF3F69"/>
    <w:rsid w:val="328E194F"/>
    <w:rsid w:val="32AF2366"/>
    <w:rsid w:val="33C22396"/>
    <w:rsid w:val="33D449BF"/>
    <w:rsid w:val="34796F56"/>
    <w:rsid w:val="3575575A"/>
    <w:rsid w:val="35837CB0"/>
    <w:rsid w:val="366A2EDE"/>
    <w:rsid w:val="387D1768"/>
    <w:rsid w:val="38CF2F03"/>
    <w:rsid w:val="39763CCE"/>
    <w:rsid w:val="39971137"/>
    <w:rsid w:val="39B15F48"/>
    <w:rsid w:val="39F63A08"/>
    <w:rsid w:val="3A586FA2"/>
    <w:rsid w:val="3B271454"/>
    <w:rsid w:val="3D471136"/>
    <w:rsid w:val="3DEB083D"/>
    <w:rsid w:val="3DFF672B"/>
    <w:rsid w:val="3E0E1380"/>
    <w:rsid w:val="3E92414F"/>
    <w:rsid w:val="3EFFECE0"/>
    <w:rsid w:val="3F404179"/>
    <w:rsid w:val="40404206"/>
    <w:rsid w:val="43E81694"/>
    <w:rsid w:val="44092266"/>
    <w:rsid w:val="442F4628"/>
    <w:rsid w:val="44640E74"/>
    <w:rsid w:val="468375E3"/>
    <w:rsid w:val="46B1619B"/>
    <w:rsid w:val="46B935D6"/>
    <w:rsid w:val="47747C57"/>
    <w:rsid w:val="47BE7DFA"/>
    <w:rsid w:val="48750BA7"/>
    <w:rsid w:val="48FE7932"/>
    <w:rsid w:val="49A01F48"/>
    <w:rsid w:val="4A2E7CB3"/>
    <w:rsid w:val="4AFA4F58"/>
    <w:rsid w:val="4E2E505E"/>
    <w:rsid w:val="4EC73C17"/>
    <w:rsid w:val="4EFFE12A"/>
    <w:rsid w:val="4F0C44B7"/>
    <w:rsid w:val="4F176330"/>
    <w:rsid w:val="5046114F"/>
    <w:rsid w:val="51F64AA9"/>
    <w:rsid w:val="5383135F"/>
    <w:rsid w:val="53860955"/>
    <w:rsid w:val="54120D61"/>
    <w:rsid w:val="554A3BE8"/>
    <w:rsid w:val="562B31F9"/>
    <w:rsid w:val="56BE5FE9"/>
    <w:rsid w:val="57470A09"/>
    <w:rsid w:val="58C5460A"/>
    <w:rsid w:val="59246885"/>
    <w:rsid w:val="59752586"/>
    <w:rsid w:val="597A791A"/>
    <w:rsid w:val="59D92052"/>
    <w:rsid w:val="5CED5ED1"/>
    <w:rsid w:val="5D5D0C52"/>
    <w:rsid w:val="5F5B3B45"/>
    <w:rsid w:val="5FF612D7"/>
    <w:rsid w:val="60164625"/>
    <w:rsid w:val="63A7379E"/>
    <w:rsid w:val="63B370D9"/>
    <w:rsid w:val="63E979AA"/>
    <w:rsid w:val="646D5FE4"/>
    <w:rsid w:val="66B25D22"/>
    <w:rsid w:val="682DB4F5"/>
    <w:rsid w:val="69EE337C"/>
    <w:rsid w:val="6A7F0663"/>
    <w:rsid w:val="6C1FB4D5"/>
    <w:rsid w:val="6F746E22"/>
    <w:rsid w:val="6F8453A6"/>
    <w:rsid w:val="6FBFFCCF"/>
    <w:rsid w:val="70690336"/>
    <w:rsid w:val="710E3CAC"/>
    <w:rsid w:val="718F0E94"/>
    <w:rsid w:val="72A50B70"/>
    <w:rsid w:val="72D50E3A"/>
    <w:rsid w:val="73A52D8A"/>
    <w:rsid w:val="751A54D2"/>
    <w:rsid w:val="75507533"/>
    <w:rsid w:val="75536DB4"/>
    <w:rsid w:val="75A03EC0"/>
    <w:rsid w:val="77ECA36A"/>
    <w:rsid w:val="77FDC5A5"/>
    <w:rsid w:val="780624BC"/>
    <w:rsid w:val="79D535A6"/>
    <w:rsid w:val="7A9C2896"/>
    <w:rsid w:val="7AE9BBF4"/>
    <w:rsid w:val="7B5D0201"/>
    <w:rsid w:val="7D0358EE"/>
    <w:rsid w:val="7FC7B3D7"/>
    <w:rsid w:val="9FBE3B93"/>
    <w:rsid w:val="BAEEC050"/>
    <w:rsid w:val="BBFFF242"/>
    <w:rsid w:val="BE9F5396"/>
    <w:rsid w:val="BFBFEF22"/>
    <w:rsid w:val="CBFFEFD1"/>
    <w:rsid w:val="DF56CF78"/>
    <w:rsid w:val="EF2F6AB0"/>
    <w:rsid w:val="F55C8A30"/>
    <w:rsid w:val="F75B0304"/>
    <w:rsid w:val="F7F92997"/>
    <w:rsid w:val="FBDECA76"/>
    <w:rsid w:val="FDDE28F6"/>
    <w:rsid w:val="FE792E6E"/>
    <w:rsid w:val="FF7F2AB1"/>
    <w:rsid w:val="FFB72F8F"/>
    <w:rsid w:val="FFBF526D"/>
    <w:rsid w:val="FFD38DB2"/>
    <w:rsid w:val="FFFF3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b/>
      <w:kern w:val="0"/>
      <w:szCs w:val="36"/>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link w:val="14"/>
    <w:qFormat/>
    <w:uiPriority w:val="0"/>
    <w:pPr>
      <w:jc w:val="left"/>
    </w:pPr>
    <w:rPr>
      <w:rFonts w:ascii="Times New Roman" w:hAnsi="Times New Roman"/>
    </w:rPr>
  </w:style>
  <w:style w:type="paragraph" w:styleId="5">
    <w:name w:val="Balloon Text"/>
    <w:basedOn w:val="1"/>
    <w:link w:val="15"/>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954F72"/>
      <w:u w:val="single"/>
    </w:rPr>
  </w:style>
  <w:style w:type="character" w:styleId="12">
    <w:name w:val="Hyperlink"/>
    <w:basedOn w:val="10"/>
    <w:unhideWhenUsed/>
    <w:qFormat/>
    <w:uiPriority w:val="99"/>
    <w:rPr>
      <w:color w:val="0563C1"/>
      <w:u w:val="single"/>
    </w:rPr>
  </w:style>
  <w:style w:type="character" w:styleId="13">
    <w:name w:val="annotation reference"/>
    <w:basedOn w:val="10"/>
    <w:qFormat/>
    <w:uiPriority w:val="0"/>
    <w:rPr>
      <w:sz w:val="21"/>
      <w:szCs w:val="21"/>
    </w:rPr>
  </w:style>
  <w:style w:type="character" w:customStyle="1" w:styleId="14">
    <w:name w:val="批注文字 Char"/>
    <w:basedOn w:val="10"/>
    <w:link w:val="4"/>
    <w:qFormat/>
    <w:uiPriority w:val="0"/>
    <w:rPr>
      <w:kern w:val="2"/>
      <w:sz w:val="21"/>
      <w:szCs w:val="24"/>
    </w:rPr>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页脚 Char"/>
    <w:basedOn w:val="10"/>
    <w:link w:val="6"/>
    <w:qFormat/>
    <w:uiPriority w:val="99"/>
    <w:rPr>
      <w:rFonts w:ascii="Calibri" w:hAnsi="Calibri"/>
      <w:kern w:val="2"/>
      <w:sz w:val="18"/>
      <w:szCs w:val="18"/>
    </w:rPr>
  </w:style>
  <w:style w:type="character" w:customStyle="1" w:styleId="17">
    <w:name w:val="页眉 Char"/>
    <w:basedOn w:val="10"/>
    <w:link w:val="7"/>
    <w:qFormat/>
    <w:uiPriority w:val="0"/>
    <w:rPr>
      <w:rFonts w:ascii="Calibri" w:hAnsi="Calibri"/>
      <w:kern w:val="2"/>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7</Pages>
  <Words>4345</Words>
  <Characters>1012</Characters>
  <Lines>8</Lines>
  <Paragraphs>10</Paragraphs>
  <TotalTime>0</TotalTime>
  <ScaleCrop>false</ScaleCrop>
  <LinksUpToDate>false</LinksUpToDate>
  <CharactersWithSpaces>5347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2022-04-01T12:04:00Z</dcterms:created>
  <dc:creator>刘妍彤</dc:creator>
  <cp:lastModifiedBy>WANGQW</cp:lastModifiedBy>
  <cp:lastPrinted>2024-02-25T09:24:00Z</cp:lastPrinted>
  <dcterms:modified xsi:type="dcterms:W3CDTF">2024-05-14T14:37:55Z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4A05D7C09B08E9BEC30643664A5079EE</vt:lpwstr>
  </property>
</Properties>
</file>