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suppressAutoHyphens/>
        <w:kinsoku/>
        <w:overflowPunct/>
        <w:topLinePunct w:val="0"/>
        <w:autoSpaceDE/>
        <w:autoSpaceDN/>
        <w:bidi w:val="0"/>
        <w:adjustRightInd/>
        <w:snapToGrid/>
        <w:spacing w:beforeLines="0" w:afterLines="0" w:line="560" w:lineRule="exact"/>
        <w:jc w:val="both"/>
        <w:textAlignment w:val="baseline"/>
        <w:rPr>
          <w:rFonts w:hint="default" w:ascii="Times New Roman" w:hAnsi="Times New Roman" w:eastAsia="黑体" w:cs="Times New Roman"/>
          <w:bCs w:val="0"/>
          <w:color w:val="auto"/>
          <w:sz w:val="32"/>
          <w:szCs w:val="32"/>
          <w:shd w:val="clear" w:color="auto" w:fill="FFFFFF"/>
          <w:lang w:eastAsia="zh-CN"/>
        </w:rPr>
      </w:pPr>
      <w:r>
        <w:rPr>
          <w:rFonts w:hint="default" w:ascii="Times New Roman" w:hAnsi="Times New Roman" w:eastAsia="黑体" w:cs="Times New Roman"/>
          <w:bCs w:val="0"/>
          <w:color w:val="auto"/>
          <w:sz w:val="32"/>
          <w:szCs w:val="32"/>
          <w:shd w:val="clear" w:color="auto" w:fill="FFFFFF"/>
          <w:lang w:eastAsia="zh-CN"/>
        </w:rPr>
        <w:t>附件</w:t>
      </w:r>
      <w:r>
        <w:rPr>
          <w:rFonts w:hint="eastAsia" w:eastAsia="黑体" w:cs="Times New Roman"/>
          <w:bCs w:val="0"/>
          <w:color w:val="auto"/>
          <w:sz w:val="32"/>
          <w:szCs w:val="32"/>
          <w:shd w:val="clear" w:color="auto" w:fill="FFFFFF"/>
          <w:lang w:val="en-US" w:eastAsia="zh-CN"/>
        </w:rPr>
        <w:t>1</w:t>
      </w:r>
      <w:r>
        <w:rPr>
          <w:rFonts w:hint="default" w:ascii="Times New Roman" w:hAnsi="Times New Roman" w:eastAsia="黑体" w:cs="Times New Roman"/>
          <w:bCs w:val="0"/>
          <w:color w:val="auto"/>
          <w:sz w:val="32"/>
          <w:szCs w:val="32"/>
          <w:shd w:val="clear" w:color="auto" w:fill="FFFFFF"/>
          <w:lang w:eastAsia="zh-CN"/>
        </w:rPr>
        <w:t>：</w:t>
      </w:r>
    </w:p>
    <w:p>
      <w:pPr>
        <w:keepNext w:val="0"/>
        <w:keepLines w:val="0"/>
        <w:pageBreakBefore w:val="0"/>
        <w:suppressAutoHyphens/>
        <w:kinsoku/>
        <w:overflowPunct/>
        <w:topLinePunct w:val="0"/>
        <w:autoSpaceDE/>
        <w:autoSpaceDN/>
        <w:bidi w:val="0"/>
        <w:adjustRightInd/>
        <w:snapToGrid/>
        <w:spacing w:beforeLines="0" w:afterLines="0" w:line="560" w:lineRule="exact"/>
        <w:jc w:val="both"/>
        <w:textAlignment w:val="baseline"/>
        <w:rPr>
          <w:rFonts w:hint="eastAsia" w:ascii="方正小标宋简体" w:hAnsi="方正小标宋简体" w:eastAsia="方正小标宋简体" w:cs="方正小标宋简体"/>
          <w:bCs/>
          <w:sz w:val="44"/>
        </w:rPr>
      </w:pPr>
    </w:p>
    <w:p>
      <w:pPr>
        <w:keepNext w:val="0"/>
        <w:keepLines w:val="0"/>
        <w:pageBreakBefore w:val="0"/>
        <w:suppressAutoHyphens/>
        <w:kinsoku/>
        <w:overflowPunct/>
        <w:topLinePunct w:val="0"/>
        <w:autoSpaceDE/>
        <w:autoSpaceDN/>
        <w:bidi w:val="0"/>
        <w:adjustRightInd/>
        <w:snapToGrid/>
        <w:spacing w:beforeLines="0" w:afterLines="0" w:line="560" w:lineRule="exact"/>
        <w:jc w:val="center"/>
        <w:textAlignment w:val="baseline"/>
        <w:rPr>
          <w:rFonts w:hint="eastAsia" w:ascii="方正小标宋简体" w:hAnsi="方正小标宋简体" w:eastAsia="方正小标宋简体" w:cs="方正小标宋简体"/>
          <w:bCs/>
          <w:sz w:val="44"/>
        </w:rPr>
      </w:pPr>
      <w:r>
        <w:rPr>
          <w:rFonts w:hint="eastAsia" w:ascii="方正小标宋简体" w:hAnsi="方正小标宋简体" w:eastAsia="方正小标宋简体" w:cs="方正小标宋简体"/>
          <w:bCs/>
          <w:sz w:val="44"/>
        </w:rPr>
        <w:t>工业和信息化部办公厅关于开展2024年</w:t>
      </w:r>
    </w:p>
    <w:p>
      <w:pPr>
        <w:keepNext w:val="0"/>
        <w:keepLines w:val="0"/>
        <w:pageBreakBefore w:val="0"/>
        <w:suppressAutoHyphens/>
        <w:kinsoku/>
        <w:overflowPunct/>
        <w:topLinePunct w:val="0"/>
        <w:autoSpaceDE/>
        <w:autoSpaceDN/>
        <w:bidi w:val="0"/>
        <w:adjustRightInd/>
        <w:snapToGrid/>
        <w:spacing w:beforeLines="0" w:afterLines="0" w:line="560" w:lineRule="exact"/>
        <w:jc w:val="center"/>
        <w:textAlignment w:val="baseline"/>
        <w:rPr>
          <w:rFonts w:hint="eastAsia" w:ascii="方正小标宋简体" w:hAnsi="方正小标宋简体" w:eastAsia="方正小标宋简体" w:cs="方正小标宋简体"/>
          <w:bCs/>
          <w:sz w:val="44"/>
        </w:rPr>
      </w:pPr>
      <w:r>
        <w:rPr>
          <w:rFonts w:hint="eastAsia" w:ascii="方正小标宋简体" w:hAnsi="方正小标宋简体" w:eastAsia="方正小标宋简体" w:cs="方正小标宋简体"/>
          <w:bCs/>
          <w:sz w:val="44"/>
        </w:rPr>
        <w:t>制造业单项冠军企业遴选认定</w:t>
      </w:r>
    </w:p>
    <w:p>
      <w:pPr>
        <w:keepNext w:val="0"/>
        <w:keepLines w:val="0"/>
        <w:pageBreakBefore w:val="0"/>
        <w:suppressAutoHyphens/>
        <w:kinsoku/>
        <w:overflowPunct/>
        <w:topLinePunct w:val="0"/>
        <w:autoSpaceDE/>
        <w:autoSpaceDN/>
        <w:bidi w:val="0"/>
        <w:adjustRightInd/>
        <w:snapToGrid/>
        <w:spacing w:beforeLines="0" w:afterLines="0" w:line="560" w:lineRule="exact"/>
        <w:jc w:val="center"/>
        <w:textAlignment w:val="baseline"/>
        <w:rPr>
          <w:rFonts w:hint="eastAsia" w:ascii="方正小标宋简体" w:hAnsi="方正小标宋简体" w:eastAsia="方正小标宋简体" w:cs="方正小标宋简体"/>
          <w:bCs/>
          <w:sz w:val="44"/>
        </w:rPr>
      </w:pPr>
      <w:r>
        <w:rPr>
          <w:rFonts w:hint="eastAsia" w:ascii="方正小标宋简体" w:hAnsi="方正小标宋简体" w:eastAsia="方正小标宋简体" w:cs="方正小标宋简体"/>
          <w:bCs/>
          <w:sz w:val="44"/>
        </w:rPr>
        <w:t>和复核评价工作的通知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jc w:val="both"/>
        <w:rPr>
          <w:rFonts w:hint="default" w:ascii="Times New Roman" w:hAnsi="Times New Roman" w:eastAsia="楷体_GB2312" w:cs="Times New Roman"/>
          <w:i w:val="0"/>
          <w:sz w:val="32"/>
          <w:szCs w:val="32"/>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jc w:val="left"/>
        <w:textAlignment w:val="auto"/>
        <w:rPr>
          <w:rFonts w:hint="default" w:ascii="Times New Roman" w:hAnsi="Times New Roman" w:eastAsia="仿宋_GB2312" w:cs="Times New Roman"/>
          <w:i w:val="0"/>
          <w:sz w:val="32"/>
          <w:szCs w:val="32"/>
        </w:rPr>
      </w:pPr>
      <w:r>
        <w:rPr>
          <w:rFonts w:hint="default" w:ascii="Times New Roman" w:hAnsi="Times New Roman" w:eastAsia="仿宋_GB2312" w:cs="Times New Roman"/>
          <w:i w:val="0"/>
          <w:caps w:val="0"/>
          <w:color w:val="070707"/>
          <w:spacing w:val="0"/>
          <w:sz w:val="32"/>
          <w:szCs w:val="32"/>
        </w:rPr>
        <w:t>各省、自治区、直辖市及计划单列市、新疆生产建设兵团工业和信息化主管部门，有关中央企业：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Times New Roman" w:hAnsi="Times New Roman" w:eastAsia="仿宋_GB2312" w:cs="Times New Roman"/>
          <w:i w:val="0"/>
          <w:sz w:val="32"/>
          <w:szCs w:val="32"/>
        </w:rPr>
      </w:pPr>
      <w:r>
        <w:rPr>
          <w:rFonts w:hint="default" w:ascii="Times New Roman" w:hAnsi="Times New Roman" w:eastAsia="仿宋_GB2312" w:cs="Times New Roman"/>
          <w:i w:val="0"/>
          <w:caps w:val="0"/>
          <w:color w:val="070707"/>
          <w:spacing w:val="0"/>
          <w:sz w:val="32"/>
          <w:szCs w:val="32"/>
        </w:rPr>
        <w:t>根据《关于加快培育发展制造业优质企业的指导意见》（工信部政法〔2021〕70号）和《制造业单项冠军企业认定管理办法》（工信部政法〔2023〕138号，以下简称《管理办法》），现组织开展2024年制造业单项冠军企业遴选认定和复核评价工作。有关事项通知如下：</w:t>
      </w:r>
      <w:bookmarkStart w:id="0" w:name="_GoBack"/>
      <w:bookmarkEnd w:id="0"/>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uppressAutoHyphens/>
        <w:kinsoku/>
        <w:wordWrap w:val="0"/>
        <w:overflowPunct/>
        <w:topLinePunct w:val="0"/>
        <w:autoSpaceDE/>
        <w:autoSpaceDN/>
        <w:bidi w:val="0"/>
        <w:adjustRightInd/>
        <w:snapToGrid/>
        <w:spacing w:before="0" w:beforeAutospacing="0" w:after="0" w:afterAutospacing="0" w:line="560" w:lineRule="exact"/>
        <w:ind w:left="0" w:leftChars="0" w:right="0" w:firstLine="640" w:firstLineChars="200"/>
        <w:jc w:val="left"/>
        <w:textAlignment w:val="auto"/>
        <w:rPr>
          <w:rFonts w:hint="default" w:ascii="Times New Roman" w:hAnsi="Times New Roman" w:eastAsia="黑体" w:cs="Times New Roman"/>
          <w:color w:val="auto"/>
          <w:kern w:val="2"/>
          <w:sz w:val="32"/>
          <w:szCs w:val="32"/>
          <w:shd w:val="clear" w:color="auto" w:fill="FFFFFF"/>
          <w:lang w:val="en-US" w:eastAsia="zh-CN" w:bidi="ar-SA"/>
        </w:rPr>
      </w:pPr>
      <w:r>
        <w:rPr>
          <w:rFonts w:hint="default" w:ascii="Times New Roman" w:hAnsi="Times New Roman" w:eastAsia="黑体" w:cs="Times New Roman"/>
          <w:color w:val="auto"/>
          <w:kern w:val="2"/>
          <w:sz w:val="32"/>
          <w:szCs w:val="32"/>
          <w:shd w:val="clear" w:color="auto" w:fill="FFFFFF"/>
          <w:lang w:val="en-US" w:eastAsia="zh-CN" w:bidi="ar-SA"/>
        </w:rPr>
        <w:t>一、遴选基本要求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Times New Roman" w:hAnsi="Times New Roman" w:eastAsia="仿宋_GB2312" w:cs="Times New Roman"/>
          <w:i w:val="0"/>
          <w:sz w:val="32"/>
          <w:szCs w:val="32"/>
        </w:rPr>
      </w:pPr>
      <w:r>
        <w:rPr>
          <w:rFonts w:hint="default" w:ascii="Times New Roman" w:hAnsi="Times New Roman" w:eastAsia="仿宋_GB2312" w:cs="Times New Roman"/>
          <w:i w:val="0"/>
          <w:caps w:val="0"/>
          <w:color w:val="070707"/>
          <w:spacing w:val="0"/>
          <w:sz w:val="32"/>
          <w:szCs w:val="32"/>
        </w:rPr>
        <w:t>（一）基本条件和要求。申请企业须符合《管理办法》中单项冠军企业认定标准，如实、自主填写制造业单项冠军企业申请书（附件1），提供必要佐证材料，对材料真实性和准确性负责。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Times New Roman" w:hAnsi="Times New Roman" w:eastAsia="仿宋_GB2312" w:cs="Times New Roman"/>
          <w:i w:val="0"/>
          <w:sz w:val="32"/>
          <w:szCs w:val="32"/>
        </w:rPr>
      </w:pPr>
      <w:r>
        <w:rPr>
          <w:rFonts w:hint="default" w:ascii="Times New Roman" w:hAnsi="Times New Roman" w:eastAsia="仿宋_GB2312" w:cs="Times New Roman"/>
          <w:i w:val="0"/>
          <w:caps w:val="0"/>
          <w:color w:val="070707"/>
          <w:spacing w:val="0"/>
          <w:sz w:val="32"/>
          <w:szCs w:val="32"/>
        </w:rPr>
        <w:t>（二）推荐名额数量。依据各地工业经济发展基础，结合第八批遴选质量和梯度培育工作开展情况，确定了地方推荐名额上限（附件2）。中央企业每家推荐数量不超过3家。对于重点领域（附件3）企业，予以优先推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Times New Roman" w:hAnsi="Times New Roman" w:eastAsia="仿宋_GB2312" w:cs="Times New Roman"/>
          <w:i w:val="0"/>
          <w:sz w:val="32"/>
          <w:szCs w:val="32"/>
        </w:rPr>
      </w:pPr>
      <w:r>
        <w:rPr>
          <w:rFonts w:hint="default" w:ascii="Times New Roman" w:hAnsi="Times New Roman" w:eastAsia="仿宋_GB2312" w:cs="Times New Roman"/>
          <w:i w:val="0"/>
          <w:caps w:val="0"/>
          <w:color w:val="070707"/>
          <w:spacing w:val="0"/>
          <w:sz w:val="32"/>
          <w:szCs w:val="32"/>
        </w:rPr>
        <w:t>（三）注意事项。企业填写的内容主要为生产经营数据等，清晰明了、操作简便，无需第三方机构辅助。相关申请不收取任何费用，没有特殊通道或捷径，请企业谨防不良机构散播虚假信息，非法牟利。</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uppressAutoHyphens/>
        <w:kinsoku/>
        <w:wordWrap w:val="0"/>
        <w:overflowPunct/>
        <w:topLinePunct w:val="0"/>
        <w:autoSpaceDE/>
        <w:autoSpaceDN/>
        <w:bidi w:val="0"/>
        <w:adjustRightInd/>
        <w:snapToGrid/>
        <w:spacing w:before="0" w:beforeAutospacing="0" w:after="0" w:afterAutospacing="0" w:line="560" w:lineRule="exact"/>
        <w:ind w:left="0" w:leftChars="0" w:right="0" w:firstLine="640" w:firstLineChars="200"/>
        <w:jc w:val="left"/>
        <w:textAlignment w:val="auto"/>
        <w:rPr>
          <w:rFonts w:hint="default" w:ascii="Times New Roman" w:hAnsi="Times New Roman" w:eastAsia="黑体" w:cs="Times New Roman"/>
          <w:color w:val="auto"/>
          <w:kern w:val="2"/>
          <w:sz w:val="32"/>
          <w:szCs w:val="32"/>
          <w:shd w:val="clear" w:color="auto" w:fill="FFFFFF"/>
          <w:lang w:val="en-US" w:eastAsia="zh-CN" w:bidi="ar-SA"/>
        </w:rPr>
      </w:pPr>
      <w:r>
        <w:rPr>
          <w:rFonts w:hint="default" w:ascii="Times New Roman" w:hAnsi="Times New Roman" w:eastAsia="黑体" w:cs="Times New Roman"/>
          <w:color w:val="auto"/>
          <w:kern w:val="2"/>
          <w:sz w:val="32"/>
          <w:szCs w:val="32"/>
          <w:shd w:val="clear" w:color="auto" w:fill="FFFFFF"/>
          <w:lang w:val="en-US" w:eastAsia="zh-CN" w:bidi="ar-SA"/>
        </w:rPr>
        <w:t>二、复核评价工作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Times New Roman" w:hAnsi="Times New Roman" w:eastAsia="仿宋_GB2312" w:cs="Times New Roman"/>
          <w:i w:val="0"/>
          <w:sz w:val="32"/>
          <w:szCs w:val="32"/>
        </w:rPr>
      </w:pPr>
      <w:r>
        <w:rPr>
          <w:rFonts w:hint="default" w:ascii="Times New Roman" w:hAnsi="Times New Roman" w:eastAsia="仿宋_GB2312" w:cs="Times New Roman"/>
          <w:i w:val="0"/>
          <w:caps w:val="0"/>
          <w:color w:val="070707"/>
          <w:spacing w:val="0"/>
          <w:sz w:val="32"/>
          <w:szCs w:val="32"/>
        </w:rPr>
        <w:t>2021年认定的第六批及通过复核的第三批单项冠军示范企业及单项冠军产品企业，须参加复核评价工作，如实、自主填写制造业单项冠军企业申请书（附件1）。对未提交复核申请材料的企业将依据《管理办法》撤销认定。</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uppressAutoHyphens/>
        <w:kinsoku/>
        <w:wordWrap w:val="0"/>
        <w:overflowPunct/>
        <w:topLinePunct w:val="0"/>
        <w:autoSpaceDE/>
        <w:autoSpaceDN/>
        <w:bidi w:val="0"/>
        <w:adjustRightInd/>
        <w:snapToGrid/>
        <w:spacing w:before="0" w:beforeAutospacing="0" w:after="0" w:afterAutospacing="0" w:line="560" w:lineRule="exact"/>
        <w:ind w:left="0" w:leftChars="0" w:right="0" w:firstLine="640" w:firstLineChars="200"/>
        <w:jc w:val="left"/>
        <w:textAlignment w:val="auto"/>
        <w:rPr>
          <w:rFonts w:hint="default" w:ascii="Times New Roman" w:hAnsi="Times New Roman" w:eastAsia="黑体" w:cs="Times New Roman"/>
          <w:color w:val="auto"/>
          <w:kern w:val="2"/>
          <w:sz w:val="32"/>
          <w:szCs w:val="32"/>
          <w:shd w:val="clear" w:color="auto" w:fill="FFFFFF"/>
          <w:lang w:val="en-US" w:eastAsia="zh-CN" w:bidi="ar-SA"/>
        </w:rPr>
      </w:pPr>
      <w:r>
        <w:rPr>
          <w:rFonts w:hint="default" w:ascii="Times New Roman" w:hAnsi="Times New Roman" w:eastAsia="黑体" w:cs="Times New Roman"/>
          <w:color w:val="auto"/>
          <w:kern w:val="2"/>
          <w:sz w:val="32"/>
          <w:szCs w:val="32"/>
          <w:shd w:val="clear" w:color="auto" w:fill="FFFFFF"/>
          <w:lang w:val="en-US" w:eastAsia="zh-CN" w:bidi="ar-SA"/>
        </w:rPr>
        <w:t>三、相关要求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Times New Roman" w:hAnsi="Times New Roman" w:eastAsia="仿宋_GB2312" w:cs="Times New Roman"/>
          <w:i w:val="0"/>
          <w:sz w:val="32"/>
          <w:szCs w:val="32"/>
        </w:rPr>
      </w:pPr>
      <w:r>
        <w:rPr>
          <w:rFonts w:hint="default" w:ascii="Times New Roman" w:hAnsi="Times New Roman" w:eastAsia="仿宋_GB2312" w:cs="Times New Roman"/>
          <w:i w:val="0"/>
          <w:caps w:val="0"/>
          <w:color w:val="070707"/>
          <w:spacing w:val="0"/>
          <w:sz w:val="32"/>
          <w:szCs w:val="32"/>
        </w:rPr>
        <w:t>（一）工作要求。各地工业和信息化主管部门、中央企业集团应依据《管理办法》相关要求和标准，组织符合条件的企业和须复核企业填写申请书。对申请企业材料进行初步论证，经向社会公示后，择优推荐；对复核企业申请材料要组织初核，并提出复核意见。不得以任何形式向企业收取费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Times New Roman" w:hAnsi="Times New Roman" w:eastAsia="仿宋_GB2312" w:cs="Times New Roman"/>
          <w:i w:val="0"/>
          <w:sz w:val="32"/>
          <w:szCs w:val="32"/>
        </w:rPr>
      </w:pPr>
      <w:r>
        <w:rPr>
          <w:rFonts w:hint="default" w:ascii="Times New Roman" w:hAnsi="Times New Roman" w:eastAsia="仿宋_GB2312" w:cs="Times New Roman"/>
          <w:i w:val="0"/>
          <w:caps w:val="0"/>
          <w:color w:val="070707"/>
          <w:spacing w:val="0"/>
          <w:sz w:val="32"/>
          <w:szCs w:val="32"/>
        </w:rPr>
        <w:t>（二）报送方式。企业申请和复核采取线上填报和线下报送相结合的方式，通过制造业单项冠军企业培育平台（https://excellent-ent.cn）填报并上传相关材料，经组织单位统一报送（具体填报和审核方式，请参见报送系统主页说明）。线下、线上填报材料应保持一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Times New Roman" w:hAnsi="Times New Roman" w:eastAsia="仿宋_GB2312" w:cs="Times New Roman"/>
          <w:i w:val="0"/>
          <w:sz w:val="32"/>
          <w:szCs w:val="32"/>
        </w:rPr>
      </w:pPr>
      <w:r>
        <w:rPr>
          <w:rFonts w:hint="default" w:ascii="Times New Roman" w:hAnsi="Times New Roman" w:eastAsia="仿宋_GB2312" w:cs="Times New Roman"/>
          <w:i w:val="0"/>
          <w:caps w:val="0"/>
          <w:color w:val="070707"/>
          <w:spacing w:val="0"/>
          <w:sz w:val="32"/>
          <w:szCs w:val="32"/>
        </w:rPr>
        <w:t>（三）截止时间。请各地工业和信息化主管部门、中央企业集团在2024年10月27日前，将推荐企业的制造业单项冠军企业申请书（附件1、申请企业加盖公章与骑缝章）、申请汇总表（附件4），纸质版与扫描电子版（光盘）各一份；相关附件与佐证材料扫描电子版（光盘）一份，连同加盖公章正式上报文件，报工业和信息化部（产业政策与法规司）。</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Times New Roman" w:hAnsi="Times New Roman" w:eastAsia="仿宋_GB2312" w:cs="Times New Roman"/>
          <w:i w:val="0"/>
          <w:sz w:val="32"/>
          <w:szCs w:val="32"/>
        </w:rPr>
      </w:pPr>
      <w:r>
        <w:rPr>
          <w:rFonts w:hint="default" w:ascii="Times New Roman" w:hAnsi="Times New Roman" w:eastAsia="仿宋_GB2312" w:cs="Times New Roman"/>
          <w:i w:val="0"/>
          <w:caps w:val="0"/>
          <w:color w:val="070707"/>
          <w:spacing w:val="0"/>
          <w:sz w:val="32"/>
          <w:szCs w:val="32"/>
        </w:rPr>
        <w:t>联系方式：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Times New Roman" w:hAnsi="Times New Roman" w:eastAsia="仿宋_GB2312" w:cs="Times New Roman"/>
          <w:i w:val="0"/>
          <w:sz w:val="32"/>
          <w:szCs w:val="32"/>
        </w:rPr>
      </w:pPr>
      <w:r>
        <w:rPr>
          <w:rFonts w:hint="default" w:ascii="Times New Roman" w:hAnsi="Times New Roman" w:eastAsia="仿宋_GB2312" w:cs="Times New Roman"/>
          <w:i w:val="0"/>
          <w:caps w:val="0"/>
          <w:color w:val="070707"/>
          <w:spacing w:val="0"/>
          <w:sz w:val="32"/>
          <w:szCs w:val="32"/>
        </w:rPr>
        <w:t>工业和信息化部产业政策与法规司：</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Times New Roman" w:hAnsi="Times New Roman" w:eastAsia="仿宋_GB2312" w:cs="Times New Roman"/>
          <w:i w:val="0"/>
          <w:sz w:val="32"/>
          <w:szCs w:val="32"/>
        </w:rPr>
      </w:pPr>
      <w:r>
        <w:rPr>
          <w:rFonts w:hint="default" w:ascii="Times New Roman" w:hAnsi="Times New Roman" w:eastAsia="仿宋_GB2312" w:cs="Times New Roman"/>
          <w:i w:val="0"/>
          <w:caps w:val="0"/>
          <w:color w:val="070707"/>
          <w:spacing w:val="0"/>
          <w:sz w:val="32"/>
          <w:szCs w:val="32"/>
        </w:rPr>
        <w:t>010-68205198/68205205</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Times New Roman" w:hAnsi="Times New Roman" w:eastAsia="仿宋_GB2312" w:cs="Times New Roman"/>
          <w:i w:val="0"/>
          <w:sz w:val="32"/>
          <w:szCs w:val="32"/>
        </w:rPr>
      </w:pPr>
      <w:r>
        <w:rPr>
          <w:rFonts w:hint="default" w:ascii="Times New Roman" w:hAnsi="Times New Roman" w:eastAsia="仿宋_GB2312" w:cs="Times New Roman"/>
          <w:i w:val="0"/>
          <w:caps w:val="0"/>
          <w:color w:val="070707"/>
          <w:spacing w:val="0"/>
          <w:sz w:val="32"/>
          <w:szCs w:val="32"/>
        </w:rPr>
        <w:t>材料寄送地址：北京市西城区西长安街13号工业和信息化部产业政策与法规司，邮编100804。</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Times New Roman" w:hAnsi="Times New Roman" w:eastAsia="仿宋_GB2312" w:cs="Times New Roman"/>
          <w:i w:val="0"/>
          <w:sz w:val="32"/>
          <w:szCs w:val="32"/>
        </w:rPr>
      </w:pPr>
      <w:r>
        <w:rPr>
          <w:rFonts w:hint="default" w:ascii="Times New Roman" w:hAnsi="Times New Roman" w:eastAsia="仿宋_GB2312" w:cs="Times New Roman"/>
          <w:i w:val="0"/>
          <w:caps w:val="0"/>
          <w:color w:val="070707"/>
          <w:spacing w:val="0"/>
          <w:sz w:val="32"/>
          <w:szCs w:val="32"/>
        </w:rPr>
        <w:t>线上报送系统技术咨询：010-62303157</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Times New Roman" w:hAnsi="Times New Roman" w:eastAsia="仿宋_GB2312" w:cs="Times New Roman"/>
          <w:i w:val="0"/>
          <w:caps w:val="0"/>
          <w:color w:val="070707"/>
          <w:spacing w:val="0"/>
          <w:sz w:val="32"/>
          <w:szCs w:val="32"/>
        </w:rPr>
      </w:pPr>
      <w:r>
        <w:rPr>
          <w:rFonts w:hint="default" w:ascii="Times New Roman" w:hAnsi="Times New Roman" w:eastAsia="仿宋_GB2312" w:cs="Times New Roman"/>
          <w:i w:val="0"/>
          <w:caps w:val="0"/>
          <w:color w:val="070707"/>
          <w:spacing w:val="0"/>
          <w:sz w:val="32"/>
          <w:szCs w:val="32"/>
        </w:rPr>
        <w:t>附件：（</w:t>
      </w:r>
      <w:r>
        <w:rPr>
          <w:rFonts w:hint="eastAsia" w:ascii="Times New Roman" w:hAnsi="Times New Roman" w:eastAsia="仿宋_GB2312" w:cs="Times New Roman"/>
          <w:i w:val="0"/>
          <w:caps w:val="0"/>
          <w:color w:val="070707"/>
          <w:spacing w:val="0"/>
          <w:sz w:val="32"/>
          <w:szCs w:val="32"/>
          <w:lang w:val="en-US" w:eastAsia="zh-CN"/>
        </w:rPr>
        <w:t>见线上申报系统</w:t>
      </w:r>
      <w:r>
        <w:rPr>
          <w:rFonts w:hint="default" w:ascii="Times New Roman" w:hAnsi="Times New Roman" w:eastAsia="仿宋_GB2312" w:cs="Times New Roman"/>
          <w:i w:val="0"/>
          <w:caps w:val="0"/>
          <w:color w:val="070707"/>
          <w:spacing w:val="0"/>
          <w:sz w:val="32"/>
          <w:szCs w:val="32"/>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Times New Roman" w:hAnsi="Times New Roman" w:eastAsia="仿宋_GB2312" w:cs="Times New Roman"/>
          <w:i w:val="0"/>
          <w:caps w:val="0"/>
          <w:color w:val="070707"/>
          <w:spacing w:val="0"/>
          <w:sz w:val="32"/>
          <w:szCs w:val="32"/>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Times New Roman" w:hAnsi="Times New Roman" w:eastAsia="仿宋_GB2312" w:cs="Times New Roman"/>
          <w:i w:val="0"/>
          <w:caps w:val="0"/>
          <w:color w:val="070707"/>
          <w:spacing w:val="0"/>
          <w:sz w:val="32"/>
          <w:szCs w:val="32"/>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5440" w:firstLineChars="1700"/>
        <w:jc w:val="left"/>
        <w:textAlignment w:val="auto"/>
        <w:rPr>
          <w:rFonts w:hint="default" w:ascii="Times New Roman" w:hAnsi="Times New Roman" w:eastAsia="仿宋_GB2312" w:cs="Times New Roman"/>
          <w:i w:val="0"/>
          <w:caps w:val="0"/>
          <w:color w:val="070707"/>
          <w:spacing w:val="0"/>
          <w:sz w:val="32"/>
          <w:szCs w:val="32"/>
        </w:rPr>
      </w:pPr>
      <w:r>
        <w:rPr>
          <w:rFonts w:hint="default" w:ascii="Times New Roman" w:hAnsi="Times New Roman" w:eastAsia="仿宋_GB2312" w:cs="Times New Roman"/>
          <w:i w:val="0"/>
          <w:caps w:val="0"/>
          <w:color w:val="070707"/>
          <w:spacing w:val="0"/>
          <w:sz w:val="32"/>
          <w:szCs w:val="32"/>
        </w:rPr>
        <w:t>工业和信息化部办公厅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5760" w:firstLineChars="1800"/>
        <w:jc w:val="left"/>
        <w:textAlignment w:val="auto"/>
        <w:rPr>
          <w:rFonts w:hint="default" w:ascii="Times New Roman" w:hAnsi="Times New Roman" w:eastAsia="仿宋_GB2312" w:cs="Times New Roman"/>
          <w:i w:val="0"/>
          <w:caps w:val="0"/>
          <w:color w:val="070707"/>
          <w:spacing w:val="0"/>
          <w:sz w:val="32"/>
          <w:szCs w:val="32"/>
        </w:rPr>
      </w:pPr>
      <w:r>
        <w:rPr>
          <w:rFonts w:hint="default" w:ascii="Times New Roman" w:hAnsi="Times New Roman" w:eastAsia="仿宋_GB2312" w:cs="Times New Roman"/>
          <w:i w:val="0"/>
          <w:caps w:val="0"/>
          <w:color w:val="070707"/>
          <w:spacing w:val="0"/>
          <w:sz w:val="32"/>
          <w:szCs w:val="32"/>
        </w:rPr>
        <w:t>2024年8月26日</w:t>
      </w:r>
    </w:p>
    <w:sectPr>
      <w:footerReference r:id="rId5" w:type="first"/>
      <w:headerReference r:id="rId3" w:type="default"/>
      <w:footerReference r:id="rId4" w:type="default"/>
      <w:pgSz w:w="11906" w:h="16838"/>
      <w:pgMar w:top="1531" w:right="1418" w:bottom="1531" w:left="1418" w:header="851" w:footer="1134"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文星简大标宋">
    <w:altName w:val="微软雅黑"/>
    <w:panose1 w:val="02010609000101010101"/>
    <w:charset w:val="00"/>
    <w:family w:val="modern"/>
    <w:pitch w:val="default"/>
    <w:sig w:usb0="00000000" w:usb1="00000000" w:usb2="00000000"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矩形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rFonts w:hint="eastAsia"/>
                              <w:sz w:val="1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- 2 -</w:t>
                          </w:r>
                          <w:r>
                            <w:rPr>
                              <w:rFonts w:hint="eastAsia" w:ascii="宋体" w:hAnsi="宋体" w:cs="宋体"/>
                              <w:sz w:val="28"/>
                              <w:szCs w:val="28"/>
                            </w:rPr>
                            <w:fldChar w:fldCharType="end"/>
                          </w:r>
                        </w:p>
                      </w:txbxContent>
                    </wps:txbx>
                    <wps:bodyPr wrap="none" lIns="0" tIns="0" rIns="0" bIns="0" upright="0">
                      <a:spAutoFit/>
                    </wps:bodyPr>
                  </wps:wsp>
                </a:graphicData>
              </a:graphic>
            </wp:anchor>
          </w:drawing>
        </mc:Choice>
        <mc:Fallback>
          <w:pict>
            <v:rect id="_x0000_s1026" o:spid="_x0000_s1026" o:spt="1"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">
              <v:path/>
              <v:fill on="f" focussize="0,0"/>
              <v:stroke on="f"/>
              <v:imagedata o:title=""/>
              <o:lock v:ext="edit" grouping="f" rotation="f" text="f" aspectratio="f"/>
              <v:textbox inset="0mm,0mm,0mm,0mm" style="mso-fit-shape-to-text:t;">
                <w:txbxContent>
                  <w:p>
                    <w:pPr>
                      <w:snapToGrid w:val="0"/>
                      <w:rPr>
                        <w:rFonts w:hint="eastAsia"/>
                        <w:sz w:val="1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- 2 -</w:t>
                    </w:r>
                    <w:r>
                      <w:rPr>
                        <w:rFonts w:hint="eastAsia" w:ascii="宋体" w:hAnsi="宋体" w:cs="宋体"/>
                        <w:sz w:val="28"/>
                        <w:szCs w:val="28"/>
                      </w:rP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9070"/>
        <w:tab w:val="clear" w:pos="4153"/>
      </w:tabs>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矩形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rFonts w:hint="eastAsia"/>
                              <w:sz w:val="1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- 1 -</w:t>
                          </w:r>
                          <w:r>
                            <w:rPr>
                              <w:rFonts w:hint="eastAsia" w:ascii="宋体" w:hAnsi="宋体" w:cs="宋体"/>
                              <w:sz w:val="28"/>
                              <w:szCs w:val="28"/>
                            </w:rPr>
                            <w:fldChar w:fldCharType="end"/>
                          </w:r>
                        </w:p>
                      </w:txbxContent>
                    </wps:txbx>
                    <wps:bodyPr wrap="none" lIns="0" tIns="0" rIns="0" bIns="0" upright="0">
                      <a:spAutoFit/>
                    </wps:bodyPr>
                  </wps:wsp>
                </a:graphicData>
              </a:graphic>
            </wp:anchor>
          </w:drawing>
        </mc:Choice>
        <mc:Fallback>
          <w:pict>
            <v:rect id="_x0000_s1026" o:spid="_x0000_s1026" o:spt="1"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Ll1uVLQAAAABQEAAA8AAAAAAAAAAQAg&#10;AAAAIgAAAGRycy9kb3ducmV2LnhtbFBLAQIUABQAAAAIAIdO4kCOAd7YpAEAAD4DAAAOAAAAAAAA&#10;AAEAIAAAAB8BAABkcnMvZTJvRG9jLnhtbFBLBQYAAAAABgAGAFkBAAA1BQAAAAA=&#10;">
              <v:path/>
              <v:fill on="f" focussize="0,0"/>
              <v:stroke on="f"/>
              <v:imagedata o:title=""/>
              <o:lock v:ext="edit" grouping="f" rotation="f" text="f" aspectratio="f"/>
              <v:textbox inset="0mm,0mm,0mm,0mm" style="mso-fit-shape-to-text:t;">
                <w:txbxContent>
                  <w:p>
                    <w:pPr>
                      <w:snapToGrid w:val="0"/>
                      <w:rPr>
                        <w:rFonts w:hint="eastAsia"/>
                        <w:sz w:val="1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- 1 -</w:t>
                    </w:r>
                    <w:r>
                      <w:rPr>
                        <w:rFonts w:hint="eastAsia" w:ascii="宋体" w:hAnsi="宋体" w:cs="宋体"/>
                        <w:sz w:val="28"/>
                        <w:szCs w:val="28"/>
                      </w:rPr>
                      <w:fldChar w:fldCharType="end"/>
                    </w:r>
                  </w:p>
                </w:txbxContent>
              </v:textbox>
            </v:rect>
          </w:pict>
        </mc:Fallback>
      </mc:AlternateContent>
    </w:r>
    <w:r>
      <w:rPr>
        <w:rFonts w:hint="eastAsia"/>
      </w:rPr>
      <w:tab/>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none" w:color="auto" w:sz="0" w:space="1"/>
        <w:left w:val="none" w:color="auto" w:sz="0" w:space="4"/>
        <w:bottom w:val="none" w:color="auto" w:sz="0" w:space="1"/>
        <w:right w:val="none" w:color="auto" w:sz="0" w:space="4"/>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43AA8"/>
    <w:rsid w:val="10063F99"/>
    <w:rsid w:val="134C3CB4"/>
    <w:rsid w:val="46076F02"/>
    <w:rsid w:val="747933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2023-07-21T02:53:00Z</dcterms:created>
  <dc:creator>admin</dc:creator>
  <cp:lastModifiedBy>徐致元</cp:lastModifiedBy>
  <dcterms:modified xsi:type="dcterms:W3CDTF">2024-09-06T09:42:26Z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