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widowControl w:val="0"/>
        <w:kinsoku/>
        <w:overflowPunct/>
        <w:topLinePunct w:val="0"/>
        <w:bidi w:val="0"/>
        <w:adjustRightInd w:val="0"/>
        <w:spacing w:line="560" w:lineRule="exact"/>
        <w:jc w:val="both"/>
        <w:outlineLvl w:val="0"/>
        <w:rPr>
          <w:rFonts w:hint="eastAsia" w:ascii="黑体" w:hAnsi="黑体" w:eastAsia="黑体" w:cs="黑体"/>
          <w:kern w:val="44"/>
          <w:sz w:val="32"/>
          <w:szCs w:val="48"/>
          <w:lang w:val="en-US" w:eastAsia="zh-CN" w:bidi="ar-SA"/>
        </w:rPr>
      </w:pPr>
      <w:r>
        <w:rPr>
          <w:rFonts w:hint="eastAsia" w:ascii="黑体" w:hAnsi="黑体" w:eastAsia="黑体" w:cs="黑体"/>
          <w:kern w:val="44"/>
          <w:sz w:val="32"/>
          <w:szCs w:val="48"/>
          <w:lang w:val="en-US" w:eastAsia="zh-CN" w:bidi="ar-SA"/>
        </w:rPr>
        <w:t>附件1</w:t>
      </w:r>
    </w:p>
    <w:p>
      <w:pPr>
        <w:pageBreakBefore w:val="0"/>
        <w:widowControl w:val="0"/>
        <w:kinsoku/>
        <w:overflowPunct/>
        <w:topLinePunct w:val="0"/>
        <w:bidi w:val="0"/>
        <w:adjustRightInd w:val="0"/>
        <w:spacing w:line="560" w:lineRule="exact"/>
        <w:jc w:val="both"/>
        <w:outlineLvl w:val="0"/>
        <w:rPr>
          <w:rFonts w:hint="eastAsia" w:ascii="黑体" w:hAnsi="黑体" w:eastAsia="黑体" w:cs="黑体"/>
          <w:kern w:val="44"/>
          <w:sz w:val="32"/>
          <w:szCs w:val="48"/>
          <w:lang w:val="en-US" w:eastAsia="zh-CN" w:bidi="ar-SA"/>
        </w:rPr>
      </w:pPr>
    </w:p>
    <w:p>
      <w:pPr>
        <w:pageBreakBefore w:val="0"/>
        <w:kinsoku/>
        <w:overflowPunct/>
        <w:topLinePunct w:val="0"/>
        <w:bidi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2024年实体经济和数字经济深度融合典型案例</w:t>
      </w:r>
    </w:p>
    <w:p>
      <w:pPr>
        <w:pageBreakBefore w:val="0"/>
        <w:kinsoku/>
        <w:overflowPunct/>
        <w:topLinePunct w:val="0"/>
        <w:bidi w:val="0"/>
        <w:spacing w:line="56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要素条件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Times New Roman" w:hAnsi="Times New Roman" w:eastAsia="方正小标宋简体" w:cs="Times New Roman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color w:val="000000"/>
          <w:highlight w:val="none"/>
          <w:lang w:val="en-US" w:eastAsia="zh-CN"/>
        </w:rPr>
      </w:pPr>
      <w:r>
        <w:rPr>
          <w:rFonts w:hint="eastAsia" w:ascii="仿宋_GB2312" w:hAnsi="仿宋_GB2312" w:cs="仿宋_GB2312"/>
          <w:color w:val="000000"/>
          <w:highlight w:val="none"/>
          <w:lang w:val="en-US" w:eastAsia="zh-CN"/>
        </w:rPr>
        <w:t>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进一步促进实体经济和数字经济深度融合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，以信息化培育新动能，用新动能推动新发展，</w:t>
      </w:r>
      <w:r>
        <w:rPr>
          <w:rFonts w:hint="eastAsia" w:ascii="仿宋_GB2312" w:hAnsi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加快新一代信息技术全方位全链条普及应用</w:t>
      </w:r>
      <w:r>
        <w:rPr>
          <w:rFonts w:hint="eastAsia" w:ascii="仿宋_GB2312" w:hAnsi="仿宋_GB2312" w:cs="仿宋_GB2312"/>
          <w:color w:val="000000"/>
          <w:highlight w:val="none"/>
          <w:lang w:val="en-US" w:eastAsia="zh-CN"/>
        </w:rPr>
        <w:t>，本次征集工作共设置以下4个方向、共16个子方向。</w:t>
      </w:r>
    </w:p>
    <w:p>
      <w:pPr>
        <w:pageBreakBefore w:val="0"/>
        <w:widowControl w:val="0"/>
        <w:kinsoku/>
        <w:overflowPunct/>
        <w:topLinePunct w:val="0"/>
        <w:bidi w:val="0"/>
        <w:adjustRightInd w:val="0"/>
        <w:spacing w:line="560" w:lineRule="exact"/>
        <w:ind w:firstLine="640" w:firstLineChars="200"/>
        <w:jc w:val="both"/>
        <w:outlineLvl w:val="0"/>
        <w:rPr>
          <w:rFonts w:hint="default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  <w:t>一、数字化转型通用工具产品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0"/>
          <w:highlight w:val="none"/>
          <w:lang w:val="en-US" w:eastAsia="zh-CN"/>
        </w:rPr>
        <w:t>面向数字化通用工具产品，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20"/>
          <w:highlight w:val="none"/>
          <w:lang w:val="en-US" w:eastAsia="zh-CN"/>
        </w:rPr>
        <w:t>聚焦</w:t>
      </w:r>
      <w:r>
        <w:rPr>
          <w:rFonts w:hint="eastAsia" w:ascii="仿宋_GB2312" w:hAnsi="仿宋_GB2312" w:cs="仿宋_GB2312"/>
          <w:highlight w:val="none"/>
          <w:lang w:val="en-US" w:eastAsia="zh-CN"/>
        </w:rPr>
        <w:t>数字化转型过程中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20"/>
          <w:highlight w:val="none"/>
          <w:lang w:val="en-US" w:eastAsia="zh-CN"/>
        </w:rPr>
        <w:t>数字化工具产品标准化程度不高、使用成本高、二次开发难度大等问题，</w:t>
      </w:r>
      <w:r>
        <w:rPr>
          <w:rFonts w:hint="eastAsia" w:ascii="仿宋_GB2312" w:hAnsi="仿宋_GB2312" w:cs="仿宋_GB2312"/>
          <w:b w:val="0"/>
          <w:bCs w:val="0"/>
          <w:sz w:val="32"/>
          <w:szCs w:val="20"/>
          <w:highlight w:val="none"/>
          <w:lang w:val="en-US" w:eastAsia="zh-CN"/>
        </w:rPr>
        <w:t>在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20"/>
          <w:highlight w:val="none"/>
          <w:lang w:val="en-US" w:eastAsia="zh-CN"/>
        </w:rPr>
        <w:t>数字化感知和检测工具、数字化专用装置、数字化“中间件”、数字化边缘节点、SaaS化企业管理软件等</w:t>
      </w:r>
      <w:r>
        <w:rPr>
          <w:rFonts w:hint="eastAsia" w:ascii="仿宋_GB2312" w:hAnsi="仿宋_GB2312" w:cs="仿宋_GB2312"/>
          <w:b w:val="0"/>
          <w:bCs w:val="0"/>
          <w:sz w:val="32"/>
          <w:szCs w:val="20"/>
          <w:highlight w:val="none"/>
          <w:lang w:val="en-US" w:eastAsia="zh-CN"/>
        </w:rPr>
        <w:t>方面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20"/>
          <w:highlight w:val="none"/>
          <w:lang w:val="en-US" w:eastAsia="zh-CN"/>
        </w:rPr>
        <w:t>，遴选一批普适化、标准化、智能化通用工具产品应用典型案例</w:t>
      </w:r>
      <w:r>
        <w:rPr>
          <w:rFonts w:hint="eastAsia" w:ascii="仿宋_GB2312" w:hAnsi="仿宋_GB2312" w:cs="仿宋_GB2312"/>
          <w:b w:val="0"/>
          <w:bCs w:val="0"/>
          <w:sz w:val="32"/>
          <w:szCs w:val="20"/>
          <w:highlight w:val="none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20"/>
          <w:highlight w:val="none"/>
          <w:lang w:val="en-US" w:eastAsia="zh-CN"/>
        </w:rPr>
        <w:t>通过低成本、轻配置、普适性的数字化工具产品矩阵，引导企业加快数字化转型</w:t>
      </w:r>
      <w:r>
        <w:rPr>
          <w:rFonts w:hint="eastAsia" w:ascii="仿宋_GB2312" w:hAnsi="仿宋_GB2312" w:cs="仿宋_GB2312"/>
          <w:szCs w:val="32"/>
          <w:highlight w:val="none"/>
          <w:lang w:val="en-US" w:eastAsia="zh-CN"/>
        </w:rPr>
        <w:t>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both"/>
        <w:outlineLvl w:val="1"/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（一）数字化感知和检测工具</w:t>
      </w: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。</w:t>
      </w:r>
    </w:p>
    <w:p>
      <w:pPr>
        <w:pageBreakBefore w:val="0"/>
        <w:widowControl/>
        <w:kinsoku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（1）物料感知类：指利用光谱、色谱、质谱等检测手段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获取生产物料的材料成分、晶体结构等信息并实现数据分析的工具，包括但不限于光谱水质监测仪、液相色谱仪、气相色谱质谱联用仪等。（2）测量工具类：指运用X光、红外、激光、声波、电磁、压力等感知技术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测量产品的色差、体积、形状、质量、温度、位置等</w:t>
      </w:r>
      <w:r>
        <w:rPr>
          <w:rFonts w:hint="eastAsia" w:ascii="仿宋_GB2312" w:hAnsi="仿宋_GB2312" w:cs="仿宋_GB2312"/>
          <w:sz w:val="32"/>
          <w:szCs w:val="32"/>
          <w:lang w:val="en-US" w:eastAsia="zh-CN"/>
        </w:rPr>
        <w:t>信息</w:t>
      </w:r>
      <w:r>
        <w:rPr>
          <w:rFonts w:hint="eastAsia" w:ascii="仿宋_GB2312" w:hAnsi="仿宋_GB2312" w:eastAsia="仿宋_GB2312" w:cs="仿宋_GB2312"/>
          <w:sz w:val="32"/>
          <w:szCs w:val="32"/>
        </w:rPr>
        <w:t>并进行数据分析的工具，包括但不限于智能成像仪、智能游标卡尺、智能仪器仪表、雷达物位计等。（3）检测工具类：指运用3D视觉、机器学习、激光感知等技术，对产品质量、生产过程、运行状态、环境安全等进行性能检测、数据分析、监测预警的工具，包括但不限于缺陷检测仪、功能检测仪等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both"/>
        <w:outlineLvl w:val="1"/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（二）数字化专用装置</w:t>
      </w: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。</w:t>
      </w:r>
    </w:p>
    <w:p>
      <w:pPr>
        <w:pageBreakBefore w:val="0"/>
        <w:widowControl/>
        <w:kinsoku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32"/>
          <w:lang w:val="en-US" w:eastAsia="zh-CN"/>
        </w:rPr>
        <w:t>通过</w:t>
      </w:r>
      <w:r>
        <w:rPr>
          <w:rFonts w:hint="default" w:ascii="Times New Roman" w:hAnsi="Times New Roman" w:eastAsia="仿宋_GB2312" w:cs="Times New Roman"/>
          <w:sz w:val="32"/>
          <w:szCs w:val="32"/>
        </w:rPr>
        <w:t>综合利用红外感知、激光感知、机器视觉、人机交互、机器学习等技术，实现研发设计、生产制造、</w:t>
      </w:r>
      <w:r>
        <w:rPr>
          <w:rFonts w:hint="default" w:ascii="Times New Roman" w:hAnsi="Times New Roman" w:eastAsia="仿宋_GB2312" w:cs="Times New Roman"/>
          <w:sz w:val="32"/>
          <w:szCs w:val="20"/>
          <w:highlight w:val="none"/>
        </w:rPr>
        <w:t>物流</w:t>
      </w:r>
      <w:r>
        <w:rPr>
          <w:rFonts w:hint="default" w:ascii="Times New Roman" w:hAnsi="Times New Roman" w:eastAsia="仿宋_GB2312" w:cs="Times New Roman"/>
          <w:sz w:val="32"/>
          <w:szCs w:val="32"/>
        </w:rPr>
        <w:t>运输等环节智能化应</w:t>
      </w:r>
      <w:bookmarkStart w:id="0" w:name="_GoBack"/>
      <w:bookmarkEnd w:id="0"/>
      <w:r>
        <w:rPr>
          <w:rFonts w:hint="default" w:ascii="Times New Roman" w:hAnsi="Times New Roman" w:eastAsia="仿宋_GB2312" w:cs="Times New Roman"/>
          <w:sz w:val="32"/>
          <w:szCs w:val="32"/>
        </w:rPr>
        <w:t>用的装置，包括但不限于装配机器人、喷涂机器人、智能立体仓库等单一功能或集成式工具。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both"/>
        <w:outlineLvl w:val="1"/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（三）数字化“中间件”</w:t>
      </w: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。</w:t>
      </w:r>
    </w:p>
    <w:p>
      <w:pPr>
        <w:pageBreakBefore w:val="0"/>
        <w:widowControl/>
        <w:kinsoku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（1）硬件协议：指用于定义设备之间如何连接和沟通的规则，包括但不限于Modbus、OPC、UART等嵌入式工业通信接口协议。（2）应用软件连接件（接缝）：指基于数据字典体系规则开发的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用于实现不同应用软件之间数据交互、协议转换、安全隔离等功能的软件工具，包括但不限于软件接口适配工具、数据字典语义转换工具、数据字典测试验证工具、应用总线等。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both"/>
        <w:outlineLvl w:val="1"/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（四）数字化边缘节点</w:t>
      </w: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。</w:t>
      </w:r>
    </w:p>
    <w:p>
      <w:pPr>
        <w:pageBreakBefore w:val="0"/>
        <w:widowControl/>
        <w:kinsoku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在数据源头的边缘侧具有融合网络、计算、存储、应用等核心能力的一体化数字化设备，实现工厂侧</w:t>
      </w:r>
      <w:r>
        <w:rPr>
          <w:rFonts w:hint="default" w:ascii="Times New Roman" w:hAnsi="Times New Roman" w:eastAsia="仿宋_GB2312" w:cs="Times New Roman"/>
          <w:sz w:val="32"/>
          <w:szCs w:val="20"/>
          <w:highlight w:val="none"/>
        </w:rPr>
        <w:t>局部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协同优化，包括但不限于边缘服务器、边缘网关、边缘控制器等智能设备。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both"/>
        <w:outlineLvl w:val="1"/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（五）SaaS化企业管理软件</w:t>
      </w: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。</w:t>
      </w:r>
    </w:p>
    <w:p>
      <w:pPr>
        <w:pageBreakBefore w:val="0"/>
        <w:widowControl/>
        <w:kinsoku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围绕企业“研产供销服”过程中人财物的数字化管理目标，针对生产和经营的业务场景的共性需求，形成通用的功能、业务流程和数据智能等应用，如通过预置的嵌入式人工智能数据报表等功能，实现面向用户的场景化选配、即开即用、付费即用（标准化）的各类管理软件。包括但不限于ERP（企业资源计划）、协同办公、财务管理、人力资源管理、供应链管理、客户关系管理、精益管理等应用。</w:t>
      </w:r>
    </w:p>
    <w:p>
      <w:pPr>
        <w:pageBreakBefore w:val="0"/>
        <w:widowControl w:val="0"/>
        <w:kinsoku/>
        <w:overflowPunct/>
        <w:topLinePunct w:val="0"/>
        <w:bidi w:val="0"/>
        <w:adjustRightInd w:val="0"/>
        <w:spacing w:line="560" w:lineRule="exact"/>
        <w:ind w:firstLine="640" w:firstLineChars="200"/>
        <w:jc w:val="both"/>
        <w:outlineLvl w:val="0"/>
        <w:rPr>
          <w:rFonts w:hint="default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  <w:t>二、工业互联网平台创新领航应用</w:t>
      </w:r>
    </w:p>
    <w:p>
      <w:pPr>
        <w:pageBreakBefore w:val="0"/>
        <w:kinsoku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Cs w:val="32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highlight w:val="none"/>
          <w:lang w:val="en-US" w:eastAsia="zh-CN"/>
          <w14:ligatures w14:val="none"/>
        </w:rPr>
        <w:t>面向基于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  <w14:ligatures w14:val="none"/>
        </w:rPr>
        <w:t>工业互联网平台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highlight w:val="none"/>
          <w:lang w:val="en-US" w:eastAsia="zh-CN"/>
          <w14:ligatures w14:val="none"/>
        </w:rPr>
        <w:t>开展模式创新的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  <w14:ligatures w14:val="none"/>
        </w:rPr>
        <w:t>工业企业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，</w:t>
      </w:r>
      <w:r>
        <w:rPr>
          <w:rFonts w:hint="default" w:ascii="Times New Roman" w:hAnsi="Times New Roman" w:cs="Times New Roman"/>
          <w:highlight w:val="none"/>
          <w:lang w:val="en-US" w:eastAsia="zh-CN"/>
        </w:rPr>
        <w:t>聚焦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数据难流通、跨环节难集成、企业难协同等问题，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在</w:t>
      </w:r>
      <w:r>
        <w:rPr>
          <w:rFonts w:hint="default" w:ascii="Times New Roman" w:hAnsi="Times New Roman" w:eastAsia="仿宋_GB2312" w:cs="Times New Roman"/>
          <w:sz w:val="32"/>
          <w:szCs w:val="20"/>
          <w:highlight w:val="none"/>
          <w:lang w:val="en-US" w:eastAsia="zh-CN"/>
        </w:rPr>
        <w:t>平台化设计、数字化管理、智能化制造、网络化协同、个性化定制和服务化</w:t>
      </w:r>
      <w:r>
        <w:rPr>
          <w:rFonts w:hint="default" w:ascii="Times New Roman" w:hAnsi="Times New Roman" w:cs="Times New Roman"/>
          <w:sz w:val="32"/>
          <w:szCs w:val="20"/>
          <w:highlight w:val="none"/>
          <w:lang w:val="en-US" w:eastAsia="zh-CN"/>
        </w:rPr>
        <w:t>延伸</w:t>
      </w:r>
      <w:r>
        <w:rPr>
          <w:rFonts w:hint="default" w:ascii="Times New Roman" w:hAnsi="Times New Roman" w:eastAsia="仿宋_GB2312" w:cs="Times New Roman"/>
          <w:sz w:val="32"/>
          <w:szCs w:val="20"/>
          <w:highlight w:val="none"/>
          <w:lang w:val="en-US" w:eastAsia="zh-CN"/>
        </w:rPr>
        <w:t>等</w:t>
      </w:r>
      <w:r>
        <w:rPr>
          <w:rFonts w:hint="default" w:ascii="Times New Roman" w:hAnsi="Times New Roman" w:cs="Times New Roman"/>
          <w:sz w:val="32"/>
          <w:szCs w:val="20"/>
          <w:highlight w:val="none"/>
          <w:lang w:val="en-US" w:eastAsia="zh-CN"/>
        </w:rPr>
        <w:t>方面</w:t>
      </w:r>
      <w:r>
        <w:rPr>
          <w:rFonts w:hint="default" w:ascii="Times New Roman" w:hAnsi="Times New Roman" w:eastAsia="仿宋_GB2312" w:cs="Times New Roman"/>
          <w:sz w:val="32"/>
          <w:szCs w:val="20"/>
          <w:highlight w:val="none"/>
          <w:lang w:val="en-US" w:eastAsia="zh-CN"/>
        </w:rPr>
        <w:t>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20"/>
          <w:highlight w:val="none"/>
          <w:lang w:val="en-US" w:eastAsia="zh-CN"/>
        </w:rPr>
        <w:t>遴选</w:t>
      </w:r>
      <w:r>
        <w:rPr>
          <w:rFonts w:hint="default" w:ascii="Times New Roman" w:hAnsi="Times New Roman" w:cs="Times New Roman"/>
          <w:szCs w:val="32"/>
          <w:highlight w:val="none"/>
        </w:rPr>
        <w:t>一批技术先进、模式创新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、</w:t>
      </w:r>
      <w:r>
        <w:rPr>
          <w:rFonts w:hint="default" w:ascii="Times New Roman" w:hAnsi="Times New Roman" w:cs="Times New Roman"/>
          <w:szCs w:val="32"/>
          <w:highlight w:val="none"/>
        </w:rPr>
        <w:t>成效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突出</w:t>
      </w:r>
      <w:r>
        <w:rPr>
          <w:rFonts w:hint="default" w:ascii="Times New Roman" w:hAnsi="Times New Roman" w:cs="Times New Roman"/>
          <w:szCs w:val="32"/>
          <w:highlight w:val="none"/>
        </w:rPr>
        <w:t>、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规模推广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的</w:t>
      </w:r>
      <w:r>
        <w:rPr>
          <w:rFonts w:hint="default" w:ascii="Times New Roman" w:hAnsi="Times New Roman" w:cs="Times New Roman"/>
          <w:szCs w:val="32"/>
          <w:highlight w:val="none"/>
        </w:rPr>
        <w:t>工业互联网平台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模式创新典型案例。通过</w:t>
      </w:r>
      <w:r>
        <w:rPr>
          <w:rFonts w:hint="default" w:ascii="Times New Roman" w:hAnsi="Times New Roman" w:eastAsia="仿宋_GB2312" w:cs="Times New Roman"/>
          <w:color w:val="000000"/>
          <w:kern w:val="0"/>
          <w:sz w:val="32"/>
          <w:szCs w:val="32"/>
          <w:highlight w:val="none"/>
          <w:lang w:val="en-US" w:eastAsia="zh-CN"/>
        </w:rPr>
        <w:t>跨场景</w:t>
      </w:r>
      <w:r>
        <w:rPr>
          <w:rFonts w:hint="default" w:ascii="Times New Roman" w:hAnsi="Times New Roman" w:cs="Times New Roman"/>
          <w:color w:val="000000"/>
          <w:kern w:val="0"/>
          <w:sz w:val="32"/>
          <w:szCs w:val="32"/>
          <w:highlight w:val="none"/>
          <w:lang w:val="en-US" w:eastAsia="zh-CN"/>
        </w:rPr>
        <w:t>协同的</w:t>
      </w:r>
      <w:r>
        <w:rPr>
          <w:rFonts w:hint="default" w:ascii="Times New Roman" w:hAnsi="Times New Roman" w:cs="Times New Roman"/>
          <w:szCs w:val="32"/>
          <w:highlight w:val="none"/>
          <w:lang w:val="en-US" w:eastAsia="zh-CN"/>
        </w:rPr>
        <w:t>平台新模式标杆样板，</w:t>
      </w:r>
      <w:r>
        <w:rPr>
          <w:rFonts w:hint="default" w:ascii="Times New Roman" w:hAnsi="Times New Roman" w:cs="Times New Roman"/>
          <w:b w:val="0"/>
          <w:bCs w:val="0"/>
          <w:sz w:val="32"/>
          <w:szCs w:val="20"/>
          <w:highlight w:val="none"/>
          <w:lang w:val="en-US" w:eastAsia="zh-CN"/>
        </w:rPr>
        <w:t>助力企业创新发展和产业变革</w:t>
      </w:r>
      <w:r>
        <w:rPr>
          <w:rFonts w:hint="default" w:ascii="Times New Roman" w:hAnsi="Times New Roman" w:cs="Times New Roman"/>
          <w:szCs w:val="32"/>
          <w:highlight w:val="none"/>
        </w:rPr>
        <w:t>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both"/>
        <w:outlineLvl w:val="1"/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（一）平台化设计</w:t>
      </w: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。</w:t>
      </w:r>
    </w:p>
    <w:p>
      <w:pPr>
        <w:pageBreakBefore w:val="0"/>
        <w:kinsoku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聚焦工业设计资源分散、工具软件落后和创新能力偏弱等问题，基于工业互联网平台汇聚各领域研发设计资源，通过数据积累和机器深度学习，促进工业知识经验沉淀、仿真设计工具创新，实现轻量化、并行、敏捷、交互和模块化设计，提高产品设计水平、协同研发效率和成本控制能力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both"/>
        <w:outlineLvl w:val="1"/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（二）数字化管理</w:t>
      </w: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。</w:t>
      </w:r>
    </w:p>
    <w:p>
      <w:pPr>
        <w:pageBreakBefore w:val="0"/>
        <w:kinsoku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聚焦工业企业数据开发利用程度低、管理决策效率低和信息孤岛等问题，基于工业互联网平台贯通全业务链数据，通过智能传感器、物联网等技术，构建数字化供应链管理体系，引领企业打造数字化驾驶舱，实现组织架构优化、动态精准服务、辅助管理决策等管理模式创新，提升企业经营管理能力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both"/>
        <w:outlineLvl w:val="1"/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（三）智能化制造</w:t>
      </w: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。</w:t>
      </w:r>
    </w:p>
    <w:p>
      <w:pPr>
        <w:pageBreakBefore w:val="0"/>
        <w:kinsoku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聚焦信息技术应用能力差、生产效率低和管控能力弱等问题，基于工业互联网平台促进生产制造全过程数字化改造，推动企业智能制造单元、智能产线、智能车间建设，加快制造执行系统的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云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化部署和优化升级，实现对生产制造过程的动态感知、实时分析与科学决策，提升生产效率和产品质量。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both"/>
        <w:outlineLvl w:val="1"/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（四）网络化协同</w:t>
      </w: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。</w:t>
      </w:r>
    </w:p>
    <w:p>
      <w:pPr>
        <w:pageBreakBefore w:val="0"/>
        <w:kinsoku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聚焦产业链结构复杂、信息不对称、协作效率低等问题，基于工业互联网平台汇聚设计、制造、运维、供应链等各环节主体，推动关键数据共享、业务互联和制造资源优化配置，实现跨企业、跨地区、跨行业的研发协同、制造协同、供应协同，打造覆盖产品全生命周期的云化服务与协同服务，以数据价值网络推动产业链延伸与价值链升级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both"/>
        <w:outlineLvl w:val="1"/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（五）个性化定制</w:t>
      </w: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。</w:t>
      </w:r>
    </w:p>
    <w:p>
      <w:pPr>
        <w:pageBreakBefore w:val="0"/>
        <w:kinsoku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聚焦产品同质化程度高、附加值较低和多元化需求无法有效满足等问题，基于工业互联网平台增强用户在产品全生命周期中的参与度，精准挖掘分析用户需求，并基于数据整合分析、模型库共享与供应商协同，实现模块化与个性化设计、柔性化生产、智能仓储和准时交付，实现高效率、零库存的生产模式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both"/>
        <w:outlineLvl w:val="1"/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（六）服务化延伸</w:t>
      </w: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。</w:t>
      </w:r>
    </w:p>
    <w:p>
      <w:pPr>
        <w:pageBreakBefore w:val="0"/>
        <w:kinsoku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聚焦传统制造竞争力下降、工业企业产品供应模式单一和售后服务要求高等问题，基于工业互联网平台实现对产品的远程互联和数据分析，发展产品追溯、远程运维、分享制造、供应链金融、回收利用等创新型服务模式，推动制造向服务转变、从出售产品到“产品+服务”转变。</w:t>
      </w:r>
    </w:p>
    <w:p>
      <w:pPr>
        <w:pageBreakBefore w:val="0"/>
        <w:widowControl w:val="0"/>
        <w:kinsoku/>
        <w:overflowPunct/>
        <w:topLinePunct w:val="0"/>
        <w:bidi w:val="0"/>
        <w:adjustRightInd w:val="0"/>
        <w:spacing w:line="560" w:lineRule="exact"/>
        <w:ind w:firstLine="640" w:firstLineChars="200"/>
        <w:jc w:val="both"/>
        <w:outlineLvl w:val="0"/>
        <w:rPr>
          <w:rFonts w:hint="default" w:ascii="Times New Roman" w:hAnsi="Times New Roman" w:eastAsia="黑体" w:cs="Times New Roman"/>
          <w:kern w:val="44"/>
          <w:sz w:val="32"/>
          <w:szCs w:val="48"/>
          <w:highlight w:val="none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44"/>
          <w:sz w:val="32"/>
          <w:szCs w:val="48"/>
          <w:highlight w:val="none"/>
          <w:lang w:val="en-US" w:eastAsia="zh-CN" w:bidi="ar-SA"/>
        </w:rPr>
        <w:t>三、数字领航企业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cs="Times New Roman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面向优质制造业企业，</w:t>
      </w:r>
      <w:r>
        <w:rPr>
          <w:rFonts w:hint="default" w:ascii="Times New Roman" w:hAnsi="Times New Roman" w:cs="Times New Roman"/>
          <w:b w:val="0"/>
          <w:bCs w:val="0"/>
          <w:sz w:val="32"/>
          <w:szCs w:val="20"/>
          <w:highlight w:val="none"/>
          <w:lang w:val="en-US" w:eastAsia="zh-CN"/>
        </w:rPr>
        <w:t>聚焦制造业数字化转型路径不清晰、应用落地难、效益不明显等问题，</w:t>
      </w:r>
      <w:r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  <w:t>在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大企业、中小企业等方面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，遴选</w:t>
      </w:r>
      <w:r>
        <w:rPr>
          <w:rFonts w:hint="default" w:ascii="Times New Roman" w:hAnsi="Times New Roman" w:cs="Times New Roman"/>
          <w:b w:val="0"/>
          <w:bCs w:val="0"/>
          <w:sz w:val="32"/>
          <w:szCs w:val="20"/>
          <w:highlight w:val="none"/>
          <w:lang w:val="en-US" w:eastAsia="zh-CN"/>
        </w:rPr>
        <w:t>一批技术创新应用、业务模式优越、组织管理高效、价值效益突出、具有较强引领带动作用的数字领航企业典型案例。通过标杆引领带动更多制造企业开展数字化转型实践，输出优质解决方案和转型经验，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加快产业整体转型升级。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both"/>
        <w:outlineLvl w:val="1"/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（一）数字领航企业（大企业）</w:t>
      </w: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  <w:r>
        <w:rPr>
          <w:rFonts w:hint="default" w:ascii="Times New Roman" w:hAnsi="Times New Roman" w:cs="Times New Roman"/>
          <w:b w:val="0"/>
          <w:bCs w:val="0"/>
          <w:sz w:val="32"/>
          <w:szCs w:val="20"/>
          <w:highlight w:val="none"/>
          <w:lang w:val="en-US" w:eastAsia="zh-CN"/>
        </w:rPr>
        <w:t>聚焦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大企业数字化转型战略路径不清晰、技术应用不协调、组织架构不适应等问题，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引导</w:t>
      </w:r>
      <w:r>
        <w:rPr>
          <w:rFonts w:hint="default" w:ascii="Times New Roman" w:hAnsi="Times New Roman" w:cs="Times New Roman"/>
          <w:sz w:val="32"/>
          <w:szCs w:val="32"/>
          <w:lang w:val="en-US" w:eastAsia="zh-CN"/>
        </w:rPr>
        <w:t>大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企业深化新一代信息技术融合应用，加速全环节、全要素、全链条数字化改造，并沉淀一批技术先进、效益良好的系统解决方案，带动产业链上下游协同转型。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both"/>
        <w:outlineLvl w:val="1"/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（二）数字领航企业（中小企业）</w:t>
      </w: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cs="仿宋_GB2312"/>
          <w:b w:val="0"/>
          <w:bCs w:val="0"/>
          <w:sz w:val="32"/>
          <w:szCs w:val="20"/>
          <w:highlight w:val="none"/>
          <w:lang w:val="en-US" w:eastAsia="zh-CN"/>
        </w:rPr>
      </w:pPr>
      <w:r>
        <w:rPr>
          <w:rFonts w:hint="eastAsia" w:ascii="仿宋_GB2312" w:hAnsi="仿宋_GB2312" w:cs="仿宋_GB2312"/>
          <w:b w:val="0"/>
          <w:bCs w:val="0"/>
          <w:sz w:val="32"/>
          <w:szCs w:val="20"/>
          <w:highlight w:val="none"/>
          <w:lang w:val="en-US" w:eastAsia="zh-CN"/>
        </w:rPr>
        <w:t>聚焦中小企业数字化转型深度有待提高等问题，引导中小企业聚焦重点业务场景关键需求和外部产业链配套需求，探索新一代信息技术应用场景，加快“小快轻准”数字化技术产品和解决方案应用普及，针对性提升成本、质量、效率、绿色、安全等方面效益，塑造差异化竞争力优势，实现高质量发展。</w:t>
      </w:r>
    </w:p>
    <w:p>
      <w:pPr>
        <w:widowControl w:val="0"/>
        <w:bidi w:val="0"/>
        <w:adjustRightInd w:val="0"/>
        <w:spacing w:line="560" w:lineRule="exact"/>
        <w:ind w:firstLine="640" w:firstLineChars="200"/>
        <w:jc w:val="both"/>
        <w:outlineLvl w:val="0"/>
        <w:rPr>
          <w:rFonts w:hint="default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</w:pPr>
      <w:r>
        <w:rPr>
          <w:rFonts w:hint="default" w:ascii="Times New Roman" w:hAnsi="Times New Roman" w:eastAsia="黑体" w:cs="Times New Roman"/>
          <w:kern w:val="44"/>
          <w:sz w:val="32"/>
          <w:szCs w:val="48"/>
          <w:lang w:val="en-US" w:eastAsia="zh-CN" w:bidi="ar-SA"/>
        </w:rPr>
        <w:t>四、数字化供应链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szCs w:val="24"/>
          <w:highlight w:val="none"/>
          <w:lang w:val="en-US" w:eastAsia="zh-CN"/>
        </w:rPr>
      </w:pPr>
      <w:r>
        <w:rPr>
          <w:rFonts w:hint="default" w:ascii="Times New Roman" w:hAnsi="Times New Roman" w:cs="Times New Roman"/>
          <w:highlight w:val="none"/>
          <w:lang w:val="en-US" w:eastAsia="zh-CN"/>
        </w:rPr>
        <w:t>面向培育数字化生态的供应链上下游，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20"/>
          <w:lang w:val="en-US" w:eastAsia="zh-CN"/>
        </w:rPr>
        <w:t>聚焦数字化供应链生态上下游业务协同水平不高、全链条数据贯通难度大、系统解决方案供给不足等问题，在数字化供应链关键环节优化、数字化供应链全链条互联集成、数字化供应链全生态协同创新等方面，遴选一批数字化供应链典型案例</w:t>
      </w:r>
      <w:r>
        <w:rPr>
          <w:rFonts w:hint="default" w:ascii="Times New Roman" w:hAnsi="Times New Roman" w:cs="Times New Roman"/>
          <w:b w:val="0"/>
          <w:bCs w:val="0"/>
          <w:sz w:val="32"/>
          <w:szCs w:val="20"/>
          <w:lang w:val="en-US" w:eastAsia="zh-CN"/>
        </w:rPr>
        <w:t>。通过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20"/>
          <w:lang w:val="en-US" w:eastAsia="zh-CN"/>
        </w:rPr>
        <w:t>提炼总结数字化供应链建设的优秀经验，为企业开展数字化供应链建设提供指引和参考。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both"/>
        <w:outlineLvl w:val="1"/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（一）数字化供应链关键环节优化</w:t>
      </w: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。</w:t>
      </w:r>
    </w:p>
    <w:p>
      <w:pPr>
        <w:pageBreakBefore w:val="0"/>
        <w:kinsoku/>
        <w:overflowPunct/>
        <w:topLinePunct w:val="0"/>
        <w:bidi w:val="0"/>
        <w:spacing w:line="560" w:lineRule="exact"/>
        <w:ind w:firstLine="640" w:firstLineChars="200"/>
        <w:rPr>
          <w:rFonts w:hint="default" w:ascii="Times New Roman" w:hAnsi="Times New Roman" w:eastAsia="仿宋_GB2312" w:cs="Times New Roman"/>
          <w:b/>
          <w:bCs/>
          <w:sz w:val="32"/>
          <w:szCs w:val="32"/>
        </w:rPr>
      </w:pPr>
      <w:r>
        <w:rPr>
          <w:rFonts w:hint="default" w:ascii="Times New Roman" w:hAnsi="Times New Roman" w:eastAsia="仿宋_GB2312" w:cs="Times New Roman"/>
          <w:sz w:val="32"/>
          <w:szCs w:val="32"/>
        </w:rPr>
        <w:t>聚焦数字化供应链关键环节，通过新一代信息技术融合应用</w:t>
      </w:r>
      <w:r>
        <w:rPr>
          <w:rFonts w:hint="default" w:ascii="Times New Roman" w:hAnsi="Times New Roman" w:cs="Times New Roman"/>
          <w:sz w:val="32"/>
          <w:szCs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推动基于数据分析和模型应用的流程再造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和业务环节优化</w:t>
      </w:r>
      <w:r>
        <w:rPr>
          <w:rFonts w:hint="default" w:ascii="Times New Roman" w:hAnsi="Times New Roman" w:eastAsia="仿宋_GB2312" w:cs="Times New Roman"/>
          <w:sz w:val="32"/>
          <w:szCs w:val="32"/>
        </w:rPr>
        <w:t>，开展供应链计划与预测、多元化寻源与采购、柔性化生产管理、订单精准交付、数字化客户服务</w:t>
      </w:r>
      <w:r>
        <w:rPr>
          <w:rFonts w:hint="default" w:ascii="Times New Roman" w:hAnsi="Times New Roman" w:eastAsia="仿宋_GB2312" w:cs="Times New Roman"/>
          <w:sz w:val="32"/>
          <w:szCs w:val="32"/>
          <w:lang w:bidi="ar"/>
        </w:rPr>
        <w:t>等，</w:t>
      </w:r>
      <w:r>
        <w:rPr>
          <w:rFonts w:hint="default" w:ascii="Times New Roman" w:hAnsi="Times New Roman" w:eastAsia="仿宋_GB2312" w:cs="Times New Roman"/>
          <w:sz w:val="32"/>
          <w:szCs w:val="32"/>
        </w:rPr>
        <w:t>全面提升供应链数字化运营水平，推动数字化供应链效率提升。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both"/>
        <w:outlineLvl w:val="1"/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（二）数字化供应链全链条互联集成</w:t>
      </w: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。</w:t>
      </w:r>
    </w:p>
    <w:p>
      <w:pPr>
        <w:pageBreakBefore w:val="0"/>
        <w:kinsoku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聚焦数字化供应链关键业务管控，通过新一代信息技术融合应用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推动供应链核心业务集成运作和数据端到端集成，开展供应链网络结构仿真建模设计、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基于组合式BOM的生产制造、基于订单仿真的物流调度、面向区域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 w:bidi="ar"/>
        </w:rPr>
        <w:t>协同的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供应链管理服务</w:t>
      </w:r>
      <w:r>
        <w:rPr>
          <w:rFonts w:hint="eastAsia" w:ascii="仿宋_GB2312" w:hAnsi="仿宋_GB2312" w:cs="仿宋_GB2312"/>
          <w:sz w:val="32"/>
          <w:szCs w:val="32"/>
          <w:lang w:eastAsia="zh-CN" w:bidi="ar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供应链风险预测与防控、供应链综合绩效监测、供应链安全应急机制建设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实现供应链资源全流程全链条追溯，全面提升供应链柔性和韧性水平，打造上下游协同联动的数字化供应链网络。</w:t>
      </w:r>
    </w:p>
    <w:p>
      <w:pPr>
        <w:keepNext/>
        <w:keepLines/>
        <w:pageBreakBefore w:val="0"/>
        <w:widowControl w:val="0"/>
        <w:kinsoku/>
        <w:overflowPunct/>
        <w:topLinePunct w:val="0"/>
        <w:bidi w:val="0"/>
        <w:spacing w:line="560" w:lineRule="exact"/>
        <w:ind w:firstLine="640" w:firstLineChars="200"/>
        <w:jc w:val="both"/>
        <w:outlineLvl w:val="1"/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</w:pP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（三）数字化供应链全生态协同创新</w:t>
      </w:r>
      <w:r>
        <w:rPr>
          <w:rFonts w:hint="eastAsia" w:ascii="楷体_GB2312" w:hAnsi="楷体_GB2312" w:eastAsia="楷体_GB2312" w:cs="楷体_GB2312"/>
          <w:kern w:val="2"/>
          <w:sz w:val="32"/>
          <w:szCs w:val="22"/>
          <w:lang w:val="en-US" w:eastAsia="zh-CN" w:bidi="ar-SA"/>
        </w:rPr>
        <w:t>。</w:t>
      </w:r>
    </w:p>
    <w:p>
      <w:pPr>
        <w:pageBreakBefore w:val="0"/>
        <w:kinsoku/>
        <w:overflowPunct/>
        <w:topLinePunct w:val="0"/>
        <w:bidi w:val="0"/>
        <w:spacing w:line="560" w:lineRule="exact"/>
        <w:ind w:firstLine="640" w:firstLineChars="200"/>
        <w:rPr>
          <w:rFonts w:hint="eastAsia" w:ascii="仿宋_GB2312" w:hAnsi="仿宋_GB2312" w:cs="仿宋_GB231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聚焦数字化供应链生态运营，通过新一代信息技术融合应用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</w:rPr>
        <w:t>推动供应链战略优化、内外部资源整合和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基于第三方平台的</w:t>
      </w:r>
      <w:r>
        <w:rPr>
          <w:rFonts w:hint="eastAsia" w:ascii="仿宋_GB2312" w:hAnsi="仿宋_GB2312" w:eastAsia="仿宋_GB2312" w:cs="仿宋_GB2312"/>
          <w:sz w:val="32"/>
          <w:szCs w:val="32"/>
        </w:rPr>
        <w:t>服务模式创新，开展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“</w:t>
      </w:r>
      <w:r>
        <w:rPr>
          <w:rFonts w:hint="eastAsia" w:ascii="仿宋_GB2312" w:hAnsi="仿宋_GB2312" w:eastAsia="仿宋_GB2312" w:cs="仿宋_GB2312"/>
          <w:sz w:val="32"/>
          <w:szCs w:val="32"/>
        </w:rPr>
        <w:t>供应链+集采集销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”“</w:t>
      </w:r>
      <w:r>
        <w:rPr>
          <w:rFonts w:hint="eastAsia" w:ascii="仿宋_GB2312" w:hAnsi="仿宋_GB2312" w:eastAsia="仿宋_GB2312" w:cs="仿宋_GB2312"/>
          <w:sz w:val="32"/>
          <w:szCs w:val="32"/>
        </w:rPr>
        <w:t>供应链+数字金融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”“</w:t>
      </w:r>
      <w:r>
        <w:rPr>
          <w:rFonts w:hint="eastAsia" w:ascii="仿宋_GB2312" w:hAnsi="仿宋_GB2312" w:eastAsia="仿宋_GB2312" w:cs="仿宋_GB2312"/>
          <w:sz w:val="32"/>
          <w:szCs w:val="32"/>
        </w:rPr>
        <w:t>供应链+AI大模型</w:t>
      </w:r>
      <w:r>
        <w:rPr>
          <w:rFonts w:hint="eastAsia" w:ascii="仿宋_GB2312" w:hAnsi="仿宋_GB2312" w:cs="仿宋_GB2312"/>
          <w:sz w:val="32"/>
          <w:szCs w:val="32"/>
          <w:lang w:eastAsia="zh-CN"/>
        </w:rPr>
        <w:t>”“</w:t>
      </w:r>
      <w:r>
        <w:rPr>
          <w:rFonts w:hint="eastAsia" w:ascii="仿宋_GB2312" w:hAnsi="仿宋_GB2312" w:eastAsia="仿宋_GB2312" w:cs="仿宋_GB2312"/>
          <w:sz w:val="32"/>
          <w:szCs w:val="32"/>
          <w:lang w:bidi="ar"/>
        </w:rPr>
        <w:t>工业互联网平台+供应链</w:t>
      </w:r>
      <w:r>
        <w:rPr>
          <w:rFonts w:hint="eastAsia" w:ascii="仿宋_GB2312" w:hAnsi="仿宋_GB2312" w:cs="仿宋_GB2312"/>
          <w:sz w:val="32"/>
          <w:szCs w:val="32"/>
          <w:lang w:eastAsia="zh-CN" w:bidi="ar"/>
        </w:rPr>
        <w:t>”</w:t>
      </w:r>
      <w:r>
        <w:rPr>
          <w:rFonts w:hint="eastAsia" w:ascii="仿宋_GB2312" w:hAnsi="仿宋_GB2312" w:eastAsia="仿宋_GB2312" w:cs="仿宋_GB2312"/>
          <w:sz w:val="32"/>
          <w:szCs w:val="32"/>
        </w:rPr>
        <w:t>等新模式，以数据驱动供应链业务重构和机制创新，构建开放共享、价值共创的数字化供应链生态系统。</w:t>
      </w:r>
    </w:p>
    <w:sectPr>
      <w:footerReference r:id="rId3" w:type="default"/>
      <w:pgSz w:w="11906" w:h="16838"/>
      <w:pgMar w:top="1814" w:right="1474" w:bottom="1814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sz w:val="21"/>
                              <w:szCs w:val="21"/>
                            </w:rPr>
                            <w:fldChar w:fldCharType="begin"/>
                          </w:r>
                          <w:r>
                            <w:rPr>
                              <w:sz w:val="21"/>
                              <w:szCs w:val="21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separate"/>
                          </w:r>
                          <w:r>
                            <w:rPr>
                              <w:sz w:val="21"/>
                              <w:szCs w:val="21"/>
                            </w:rPr>
                            <w:t>1</w:t>
                          </w:r>
                          <w:r>
                            <w:rPr>
                              <w:sz w:val="21"/>
                              <w:szCs w:val="21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sz w:val="21"/>
                        <w:szCs w:val="21"/>
                      </w:rPr>
                      <w:fldChar w:fldCharType="begin"/>
                    </w:r>
                    <w:r>
                      <w:rPr>
                        <w:sz w:val="21"/>
                        <w:szCs w:val="21"/>
                      </w:rPr>
                      <w:instrText xml:space="preserve"> PAGE  \* MERGEFORMAT </w:instrText>
                    </w:r>
                    <w:r>
                      <w:rPr>
                        <w:sz w:val="21"/>
                        <w:szCs w:val="21"/>
                      </w:rPr>
                      <w:fldChar w:fldCharType="separate"/>
                    </w:r>
                    <w:r>
                      <w:rPr>
                        <w:sz w:val="21"/>
                        <w:szCs w:val="21"/>
                      </w:rPr>
                      <w:t>1</w:t>
                    </w:r>
                    <w:r>
                      <w:rPr>
                        <w:sz w:val="21"/>
                        <w:szCs w:val="21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E8BA36"/>
    <w:multiLevelType w:val="multilevel"/>
    <w:tmpl w:val="C1E8BA36"/>
    <w:lvl w:ilvl="0" w:tentative="0">
      <w:start w:val="1"/>
      <w:numFmt w:val="decimal"/>
      <w:pStyle w:val="3"/>
      <w:lvlText w:val="%1."/>
      <w:lvlJc w:val="left"/>
      <w:pPr>
        <w:ind w:left="432" w:hanging="432"/>
      </w:pPr>
      <w:rPr>
        <w:rFonts w:hint="default"/>
      </w:rPr>
    </w:lvl>
    <w:lvl w:ilvl="1" w:tentative="0">
      <w:start w:val="1"/>
      <w:numFmt w:val="decimal"/>
      <w:pStyle w:val="4"/>
      <w:lvlText w:val="%1.%2."/>
      <w:lvlJc w:val="left"/>
      <w:pPr>
        <w:ind w:left="575" w:hanging="575"/>
      </w:pPr>
      <w:rPr>
        <w:rFonts w:hint="default"/>
      </w:rPr>
    </w:lvl>
    <w:lvl w:ilvl="2" w:tentative="0">
      <w:start w:val="1"/>
      <w:numFmt w:val="decimal"/>
      <w:pStyle w:val="5"/>
      <w:lvlText w:val="%1.%2.%3."/>
      <w:lvlJc w:val="left"/>
      <w:pPr>
        <w:ind w:left="720" w:hanging="720"/>
      </w:pPr>
      <w:rPr>
        <w:rFonts w:hint="default"/>
      </w:rPr>
    </w:lvl>
    <w:lvl w:ilvl="3" w:tentative="0">
      <w:start w:val="1"/>
      <w:numFmt w:val="decimal"/>
      <w:pStyle w:val="6"/>
      <w:lvlText w:val="%1.%2.%3.%4."/>
      <w:lvlJc w:val="left"/>
      <w:pPr>
        <w:ind w:left="864" w:hanging="864"/>
      </w:pPr>
      <w:rPr>
        <w:rFonts w:hint="default"/>
      </w:rPr>
    </w:lvl>
    <w:lvl w:ilvl="4" w:tentative="0">
      <w:start w:val="1"/>
      <w:numFmt w:val="decimal"/>
      <w:pStyle w:val="7"/>
      <w:lvlText w:val="%1.%2.%3.%4.%5."/>
      <w:lvlJc w:val="left"/>
      <w:pPr>
        <w:ind w:left="1008" w:hanging="1008"/>
      </w:pPr>
      <w:rPr>
        <w:rFonts w:hint="default"/>
      </w:rPr>
    </w:lvl>
    <w:lvl w:ilvl="5" w:tentative="0">
      <w:start w:val="1"/>
      <w:numFmt w:val="decimal"/>
      <w:pStyle w:val="8"/>
      <w:lvlText w:val="%1.%2.%3.%4.%5.%6."/>
      <w:lvlJc w:val="left"/>
      <w:pPr>
        <w:ind w:left="1151" w:hanging="1151"/>
      </w:pPr>
      <w:rPr>
        <w:rFonts w:hint="default"/>
      </w:rPr>
    </w:lvl>
    <w:lvl w:ilvl="6" w:tentative="0">
      <w:start w:val="1"/>
      <w:numFmt w:val="decimal"/>
      <w:pStyle w:val="9"/>
      <w:lvlText w:val="%1.%2.%3.%4.%5.%6.%7."/>
      <w:lvlJc w:val="left"/>
      <w:pPr>
        <w:ind w:left="1296" w:hanging="1296"/>
      </w:pPr>
      <w:rPr>
        <w:rFonts w:hint="default"/>
      </w:rPr>
    </w:lvl>
    <w:lvl w:ilvl="7" w:tentative="0">
      <w:start w:val="1"/>
      <w:numFmt w:val="decimal"/>
      <w:pStyle w:val="10"/>
      <w:lvlText w:val="%1.%2.%3.%4.%5.%6.%7.%8."/>
      <w:lvlJc w:val="left"/>
      <w:pPr>
        <w:ind w:left="1440" w:hanging="1440"/>
      </w:pPr>
      <w:rPr>
        <w:rFonts w:hint="default"/>
      </w:rPr>
    </w:lvl>
    <w:lvl w:ilvl="8" w:tentative="0">
      <w:start w:val="1"/>
      <w:numFmt w:val="decimal"/>
      <w:pStyle w:val="11"/>
      <w:lvlText w:val="%1.%2.%3.%4.%5.%6.%7.%8.%9."/>
      <w:lvlJc w:val="left"/>
      <w:pPr>
        <w:ind w:left="1583" w:hanging="1583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5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5ZmU4ZTZjY2M4ZjgwOTZhODc4Y2NjODA0MTBjZjUifQ=="/>
  </w:docVars>
  <w:rsids>
    <w:rsidRoot w:val="3DCC1EF4"/>
    <w:rsid w:val="0A206642"/>
    <w:rsid w:val="0B933D5F"/>
    <w:rsid w:val="1AB1523A"/>
    <w:rsid w:val="23EE4824"/>
    <w:rsid w:val="2A0D3456"/>
    <w:rsid w:val="32CEB5F7"/>
    <w:rsid w:val="34E81472"/>
    <w:rsid w:val="3DCC1EF4"/>
    <w:rsid w:val="52083A82"/>
    <w:rsid w:val="52ED0192"/>
    <w:rsid w:val="53DB3895"/>
    <w:rsid w:val="5E265C22"/>
    <w:rsid w:val="664D7EC8"/>
    <w:rsid w:val="723C766C"/>
    <w:rsid w:val="75F321AB"/>
    <w:rsid w:val="7FFDC4B6"/>
    <w:rsid w:val="8F8A4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spacing w:beforeLines="0" w:beforeAutospacing="0" w:afterLines="0" w:afterAutospacing="0" w:line="480" w:lineRule="auto"/>
      <w:ind w:left="432" w:hanging="432"/>
      <w:outlineLvl w:val="0"/>
    </w:pPr>
    <w:rPr>
      <w:rFonts w:eastAsia="黑体" w:asciiTheme="minorAscii" w:hAnsiTheme="minorAscii"/>
      <w:kern w:val="44"/>
      <w:sz w:val="32"/>
    </w:rPr>
  </w:style>
  <w:style w:type="paragraph" w:styleId="4">
    <w:name w:val="heading 2"/>
    <w:basedOn w:val="1"/>
    <w:next w:val="1"/>
    <w:autoRedefine/>
    <w:semiHidden/>
    <w:unhideWhenUsed/>
    <w:qFormat/>
    <w:uiPriority w:val="0"/>
    <w:pPr>
      <w:keepNext/>
      <w:keepLines/>
      <w:numPr>
        <w:ilvl w:val="1"/>
        <w:numId w:val="1"/>
      </w:numPr>
      <w:spacing w:beforeLines="0" w:beforeAutospacing="0" w:afterLines="0" w:afterAutospacing="0" w:line="480" w:lineRule="auto"/>
      <w:ind w:left="575" w:hanging="575"/>
      <w:outlineLvl w:val="1"/>
    </w:pPr>
    <w:rPr>
      <w:rFonts w:ascii="Arial" w:hAnsi="Arial" w:eastAsia="楷体"/>
      <w:sz w:val="32"/>
    </w:rPr>
  </w:style>
  <w:style w:type="paragraph" w:styleId="5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spacing w:beforeLines="0" w:beforeAutospacing="0" w:afterLines="0" w:afterAutospacing="0" w:line="360" w:lineRule="auto"/>
      <w:ind w:left="720" w:hanging="720"/>
      <w:outlineLvl w:val="2"/>
    </w:pPr>
    <w:rPr>
      <w:rFonts w:ascii="Calibri" w:hAnsi="Calibri" w:cs="Times New Roman"/>
      <w:b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Lines="0" w:beforeAutospacing="0" w:afterLines="0" w:afterAutospacing="0" w:line="360" w:lineRule="auto"/>
      <w:ind w:left="864" w:hanging="864"/>
      <w:outlineLvl w:val="3"/>
    </w:pPr>
    <w:rPr>
      <w:rFonts w:ascii="Arial" w:hAnsi="Arial" w:cs="Times New Roman"/>
    </w:rPr>
  </w:style>
  <w:style w:type="paragraph" w:styleId="7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left="1008" w:hanging="1008"/>
      <w:outlineLvl w:val="4"/>
    </w:pPr>
    <w:rPr>
      <w:b/>
      <w:sz w:val="28"/>
    </w:rPr>
  </w:style>
  <w:style w:type="paragraph" w:styleId="8">
    <w:name w:val="heading 6"/>
    <w:basedOn w:val="1"/>
    <w:next w:val="1"/>
    <w:semiHidden/>
    <w:unhideWhenUsed/>
    <w:qFormat/>
    <w:uiPriority w:val="0"/>
    <w:pPr>
      <w:keepNext/>
      <w:keepLines/>
      <w:numPr>
        <w:ilvl w:val="5"/>
        <w:numId w:val="1"/>
      </w:numPr>
      <w:spacing w:before="240" w:beforeLines="0" w:beforeAutospacing="0" w:after="64" w:afterLines="0" w:afterAutospacing="0" w:line="317" w:lineRule="auto"/>
      <w:ind w:left="1151" w:hanging="1151"/>
      <w:outlineLvl w:val="5"/>
    </w:pPr>
    <w:rPr>
      <w:rFonts w:ascii="Arial" w:hAnsi="Arial" w:eastAsia="黑体"/>
      <w:b/>
      <w:sz w:val="24"/>
    </w:rPr>
  </w:style>
  <w:style w:type="paragraph" w:styleId="9">
    <w:name w:val="heading 7"/>
    <w:basedOn w:val="1"/>
    <w:next w:val="1"/>
    <w:autoRedefine/>
    <w:semiHidden/>
    <w:unhideWhenUsed/>
    <w:qFormat/>
    <w:uiPriority w:val="0"/>
    <w:pPr>
      <w:keepNext/>
      <w:keepLines/>
      <w:numPr>
        <w:ilvl w:val="6"/>
        <w:numId w:val="1"/>
      </w:numPr>
      <w:spacing w:before="240" w:beforeLines="0" w:beforeAutospacing="0" w:after="64" w:afterLines="0" w:afterAutospacing="0" w:line="317" w:lineRule="auto"/>
      <w:ind w:left="1296" w:hanging="1296"/>
      <w:outlineLvl w:val="6"/>
    </w:pPr>
    <w:rPr>
      <w:b/>
      <w:sz w:val="24"/>
    </w:rPr>
  </w:style>
  <w:style w:type="paragraph" w:styleId="10">
    <w:name w:val="heading 8"/>
    <w:basedOn w:val="1"/>
    <w:next w:val="1"/>
    <w:semiHidden/>
    <w:unhideWhenUsed/>
    <w:qFormat/>
    <w:uiPriority w:val="0"/>
    <w:pPr>
      <w:keepNext/>
      <w:keepLines/>
      <w:numPr>
        <w:ilvl w:val="7"/>
        <w:numId w:val="1"/>
      </w:numPr>
      <w:spacing w:before="240" w:beforeLines="0" w:beforeAutospacing="0" w:after="64" w:afterLines="0" w:afterAutospacing="0" w:line="317" w:lineRule="auto"/>
      <w:ind w:left="1440" w:hanging="1440"/>
      <w:outlineLvl w:val="7"/>
    </w:pPr>
    <w:rPr>
      <w:rFonts w:ascii="Arial" w:hAnsi="Arial" w:eastAsia="黑体"/>
      <w:sz w:val="24"/>
    </w:rPr>
  </w:style>
  <w:style w:type="paragraph" w:styleId="11">
    <w:name w:val="heading 9"/>
    <w:basedOn w:val="1"/>
    <w:next w:val="1"/>
    <w:semiHidden/>
    <w:unhideWhenUsed/>
    <w:qFormat/>
    <w:uiPriority w:val="0"/>
    <w:pPr>
      <w:keepNext/>
      <w:keepLines/>
      <w:numPr>
        <w:ilvl w:val="8"/>
        <w:numId w:val="1"/>
      </w:numPr>
      <w:spacing w:before="240" w:beforeLines="0" w:beforeAutospacing="0" w:after="64" w:afterLines="0" w:afterAutospacing="0" w:line="317" w:lineRule="auto"/>
      <w:ind w:left="1583" w:hanging="1583"/>
      <w:outlineLvl w:val="8"/>
    </w:pPr>
    <w:rPr>
      <w:rFonts w:ascii="Arial" w:hAnsi="Arial" w:eastAsia="黑体"/>
      <w:sz w:val="21"/>
    </w:rPr>
  </w:style>
  <w:style w:type="character" w:default="1" w:styleId="15">
    <w:name w:val="Default Paragraph Font"/>
    <w:semiHidden/>
    <w:qFormat/>
    <w:uiPriority w:val="0"/>
  </w:style>
  <w:style w:type="table" w:default="1" w:styleId="1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2">
    <w:name w:val="Body Text"/>
    <w:basedOn w:val="1"/>
    <w:qFormat/>
    <w:uiPriority w:val="0"/>
    <w:pPr>
      <w:spacing w:after="120" w:afterLines="0" w:afterAutospacing="0"/>
    </w:pPr>
  </w:style>
  <w:style w:type="paragraph" w:styleId="13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167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2024-10-28T22:41:00Z</dcterms:created>
  <dc:creator>陈</dc:creator>
  <cp:lastModifiedBy>氟化氢</cp:lastModifiedBy>
  <cp:lastPrinted>2024-11-05T08:09:46Z</cp:lastPrinted>
  <dcterms:modified xsi:type="dcterms:W3CDTF">2024-11-05T08:10:10Z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2846B1C75CDD4BCD865B54DB2E2F2439_11</vt:lpwstr>
  </property>
</Properties>
</file>