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202</w:t>
      </w:r>
      <w:r>
        <w:rPr>
          <w:rFonts w:hint="eastAsia" w:ascii="方正小标宋简体" w:hAnsi="Times New Roman" w:eastAsia="方正小标宋简体" w:cs="Times New Roman"/>
          <w:color w:val="auto"/>
          <w:sz w:val="44"/>
          <w:szCs w:val="44"/>
          <w:lang w:val="en-US" w:eastAsia="zh-CN"/>
        </w:rPr>
        <w:t>3</w:t>
      </w:r>
      <w:r>
        <w:rPr>
          <w:rFonts w:hint="eastAsia" w:ascii="方正小标宋简体" w:hAnsi="Times New Roman" w:eastAsia="方正小标宋简体" w:cs="Times New Roman"/>
          <w:color w:val="auto"/>
          <w:sz w:val="44"/>
          <w:szCs w:val="44"/>
        </w:rPr>
        <w:t>年</w:t>
      </w:r>
      <w:r>
        <w:rPr>
          <w:rFonts w:hint="eastAsia" w:ascii="方正小标宋简体" w:hAnsi="Times New Roman" w:eastAsia="方正小标宋简体" w:cs="Times New Roman"/>
          <w:color w:val="auto"/>
          <w:sz w:val="44"/>
          <w:szCs w:val="44"/>
          <w:lang w:eastAsia="zh-CN"/>
        </w:rPr>
        <w:t>度</w:t>
      </w:r>
      <w:r>
        <w:rPr>
          <w:rFonts w:hint="eastAsia" w:ascii="方正小标宋简体" w:hAnsi="Times New Roman" w:eastAsia="方正小标宋简体" w:cs="Times New Roman"/>
          <w:color w:val="auto"/>
          <w:sz w:val="44"/>
          <w:szCs w:val="44"/>
        </w:rPr>
        <w:t>深圳市大型科研仪器开放共享</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服务考核评价实施方案</w:t>
      </w:r>
    </w:p>
    <w:p>
      <w:pPr>
        <w:keepNext w:val="0"/>
        <w:keepLines w:val="0"/>
        <w:pageBreakBefore w:val="0"/>
        <w:widowControl w:val="0"/>
        <w:kinsoku/>
        <w:wordWrap/>
        <w:overflowPunct/>
        <w:topLinePunct w:val="0"/>
        <w:autoSpaceDE/>
        <w:autoSpaceDN/>
        <w:bidi w:val="0"/>
        <w:adjustRightInd w:val="0"/>
        <w:snapToGrid w:val="0"/>
        <w:spacing w:line="530" w:lineRule="exact"/>
        <w:jc w:val="left"/>
        <w:textAlignment w:val="auto"/>
        <w:rPr>
          <w:rFonts w:ascii="方正小标宋简体"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color w:val="auto"/>
        </w:rPr>
      </w:pPr>
      <w:r>
        <w:rPr>
          <w:rFonts w:hint="eastAsia"/>
          <w:color w:val="auto"/>
        </w:rPr>
        <w:t>为促进我市大型科研仪器开放共享，发挥奖惩机制的激励引导作用，提高科研仪器设备使用效益，根据《深圳市促进重大科技基础设施和大型科研仪器开放共享管理办法》和《深圳市大型科研仪器开放共享服务考核评价与资助实施细则》，特制定本方案。</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一、指导思想</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坚持以习近平新时代中国特色社会主义思想为指导，深入贯彻落实科学发展观，增强各类创新主体科技研发创新能力，提高我市科研仪器资源使用效率。</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二、基本原则</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考核评价遵循</w:t>
      </w:r>
      <w:r>
        <w:rPr>
          <w:color w:val="auto"/>
        </w:rPr>
        <w:t>公开、公平、公正、择优</w:t>
      </w:r>
      <w:r>
        <w:rPr>
          <w:rFonts w:hint="eastAsia"/>
          <w:color w:val="auto"/>
        </w:rPr>
        <w:t>的</w:t>
      </w:r>
      <w:r>
        <w:rPr>
          <w:color w:val="auto"/>
        </w:rPr>
        <w:t>原则</w:t>
      </w:r>
      <w:r>
        <w:rPr>
          <w:rFonts w:hint="eastAsia"/>
          <w:color w:val="auto"/>
        </w:rPr>
        <w:t>。</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color w:val="auto"/>
        </w:rPr>
      </w:pPr>
      <w:r>
        <w:rPr>
          <w:rFonts w:hint="eastAsia" w:ascii="黑体" w:hAnsi="黑体" w:eastAsia="黑体" w:cs="黑体"/>
          <w:color w:val="auto"/>
        </w:rPr>
        <w:t>三、考核评价对象</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highlight w:val="none"/>
        </w:rPr>
      </w:pPr>
      <w:r>
        <w:rPr>
          <w:rFonts w:hint="eastAsia"/>
          <w:color w:val="auto"/>
          <w:highlight w:val="none"/>
          <w:lang w:eastAsia="zh-CN"/>
        </w:rPr>
        <w:t>大型</w:t>
      </w:r>
      <w:r>
        <w:rPr>
          <w:rFonts w:hint="eastAsia"/>
          <w:color w:val="auto"/>
          <w:highlight w:val="none"/>
        </w:rPr>
        <w:t>科研仪器</w:t>
      </w:r>
      <w:r>
        <w:rPr>
          <w:rFonts w:hint="eastAsia"/>
          <w:color w:val="auto"/>
          <w:highlight w:val="none"/>
          <w:lang w:eastAsia="zh-CN"/>
        </w:rPr>
        <w:t>所依托管理的法人单位，包括</w:t>
      </w:r>
      <w:r>
        <w:rPr>
          <w:rFonts w:hint="eastAsia"/>
          <w:color w:val="auto"/>
          <w:highlight w:val="none"/>
        </w:rPr>
        <w:t>高等院校、科研机构、企业等。</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四、考核评价范围</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单台（套）利用本市财政资金投入50万元人民币及以上，用于科学研究和技术开发活动，且202</w:t>
      </w:r>
      <w:r>
        <w:rPr>
          <w:rFonts w:hint="eastAsia"/>
          <w:color w:val="auto"/>
          <w:lang w:val="en-US" w:eastAsia="zh-CN"/>
        </w:rPr>
        <w:t>3</w:t>
      </w:r>
      <w:r>
        <w:rPr>
          <w:rFonts w:hint="eastAsia"/>
          <w:color w:val="auto"/>
        </w:rPr>
        <w:t>年度内处于使用状态的科研仪器</w:t>
      </w:r>
      <w:r>
        <w:rPr>
          <w:rFonts w:hint="eastAsia"/>
          <w:color w:val="auto"/>
          <w:lang w:eastAsia="zh-CN"/>
        </w:rPr>
        <w:t>（不含服务器</w:t>
      </w:r>
      <w:r>
        <w:rPr>
          <w:rFonts w:hint="eastAsia" w:ascii="仿宋_GB2312" w:hAnsi="仿宋_GB2312" w:cs="仿宋_GB2312"/>
          <w:color w:val="auto"/>
          <w:szCs w:val="32"/>
          <w:lang w:eastAsia="zh-CN"/>
        </w:rPr>
        <w:t>及配套设备</w:t>
      </w:r>
      <w:r>
        <w:rPr>
          <w:rFonts w:hint="eastAsia"/>
          <w:color w:val="auto"/>
          <w:lang w:eastAsia="zh-CN"/>
        </w:rPr>
        <w:t>）</w:t>
      </w:r>
      <w:r>
        <w:rPr>
          <w:rFonts w:hint="eastAsia"/>
          <w:color w:val="auto"/>
        </w:rPr>
        <w:t>开放共享服务情况。</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五、考核评价周期</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202</w:t>
      </w:r>
      <w:r>
        <w:rPr>
          <w:rFonts w:hint="eastAsia"/>
          <w:color w:val="auto"/>
          <w:lang w:val="en-US" w:eastAsia="zh-CN"/>
        </w:rPr>
        <w:t>3</w:t>
      </w:r>
      <w:r>
        <w:rPr>
          <w:rFonts w:hint="eastAsia"/>
          <w:color w:val="auto"/>
        </w:rPr>
        <w:t>年1月1日至202</w:t>
      </w:r>
      <w:r>
        <w:rPr>
          <w:rFonts w:hint="eastAsia"/>
          <w:color w:val="auto"/>
          <w:lang w:val="en-US" w:eastAsia="zh-CN"/>
        </w:rPr>
        <w:t>3</w:t>
      </w:r>
      <w:r>
        <w:rPr>
          <w:rFonts w:hint="eastAsia"/>
          <w:color w:val="auto"/>
        </w:rPr>
        <w:t>年12月31日。</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六、考核评价指标</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考核评价指标包括管理单位科研仪器组织管理情况、</w:t>
      </w:r>
      <w:r>
        <w:rPr>
          <w:rFonts w:hint="eastAsia"/>
          <w:color w:val="auto"/>
          <w:lang w:eastAsia="zh-CN"/>
        </w:rPr>
        <w:t>内部</w:t>
      </w:r>
      <w:r>
        <w:rPr>
          <w:rFonts w:hint="eastAsia"/>
          <w:color w:val="auto"/>
        </w:rPr>
        <w:t>运行使用情况和共享服务成效三个方面。</w:t>
      </w:r>
    </w:p>
    <w:p>
      <w:pPr>
        <w:pStyle w:val="4"/>
        <w:keepNext w:val="0"/>
        <w:keepLines w:val="0"/>
        <w:pageBreakBefore w:val="0"/>
        <w:widowControl w:val="0"/>
        <w:kinsoku/>
        <w:wordWrap/>
        <w:overflowPunct/>
        <w:topLinePunct w:val="0"/>
        <w:autoSpaceDE/>
        <w:autoSpaceDN/>
        <w:bidi w:val="0"/>
        <w:spacing w:after="0" w:line="530" w:lineRule="exact"/>
        <w:ind w:left="397" w:leftChars="124" w:firstLine="320" w:firstLineChars="100"/>
        <w:jc w:val="left"/>
        <w:textAlignment w:val="auto"/>
        <w:rPr>
          <w:rFonts w:hint="eastAsia"/>
          <w:color w:val="auto"/>
        </w:rPr>
      </w:pPr>
      <w:r>
        <w:rPr>
          <w:rFonts w:hint="eastAsia"/>
          <w:color w:val="auto"/>
        </w:rPr>
        <w:t>（一）组织管理情况（35分）</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1.制度建设（5分）。包括科研仪器开放共享、购置论证等相关管理制度。</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2.开放率（</w:t>
      </w:r>
      <w:r>
        <w:rPr>
          <w:rFonts w:hint="default"/>
          <w:color w:val="auto"/>
          <w:lang w:val="en-US"/>
        </w:rPr>
        <w:t>10</w:t>
      </w:r>
      <w:r>
        <w:rPr>
          <w:rFonts w:hint="eastAsia"/>
          <w:color w:val="auto"/>
        </w:rPr>
        <w:t>分）。纳入</w:t>
      </w:r>
      <w:r>
        <w:rPr>
          <w:rFonts w:hint="eastAsia"/>
          <w:color w:val="auto"/>
          <w:lang w:eastAsia="zh-CN"/>
        </w:rPr>
        <w:t>深圳</w:t>
      </w:r>
      <w:r>
        <w:rPr>
          <w:rFonts w:hint="eastAsia"/>
          <w:color w:val="auto"/>
        </w:rPr>
        <w:t>市重大科技基础设施和大型科研仪器共享平台管理并开放的科研仪器与管理单位全部应开放的科研仪器的数量比值。</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3.实验队伍建设（2</w:t>
      </w:r>
      <w:r>
        <w:rPr>
          <w:rFonts w:hint="default"/>
          <w:color w:val="auto"/>
          <w:lang w:val="en-US"/>
        </w:rPr>
        <w:t>0</w:t>
      </w:r>
      <w:r>
        <w:rPr>
          <w:rFonts w:hint="eastAsia"/>
          <w:color w:val="auto"/>
        </w:rPr>
        <w:t>分）。包括建立专业化的实验队伍情况、对实验人员开放共享服务成效的考核和激励情况、组织实验人员开展技术和安全培训等。</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（二）</w:t>
      </w:r>
      <w:r>
        <w:rPr>
          <w:rFonts w:hint="eastAsia"/>
          <w:color w:val="auto"/>
          <w:lang w:eastAsia="zh-CN"/>
        </w:rPr>
        <w:t>内部</w:t>
      </w:r>
      <w:r>
        <w:rPr>
          <w:rFonts w:hint="eastAsia"/>
          <w:color w:val="auto"/>
        </w:rPr>
        <w:t>运行使用情况（40分）</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1.运行机时（25分）。指科研仪器年平均</w:t>
      </w:r>
      <w:r>
        <w:rPr>
          <w:rFonts w:hint="eastAsia"/>
          <w:color w:val="auto"/>
          <w:lang w:eastAsia="zh-CN"/>
        </w:rPr>
        <w:t>内部使用</w:t>
      </w:r>
      <w:r>
        <w:rPr>
          <w:rFonts w:hint="eastAsia"/>
          <w:color w:val="auto"/>
        </w:rPr>
        <w:t>机时。</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2.运行使用成效（15分）。</w:t>
      </w:r>
      <w:r>
        <w:rPr>
          <w:rFonts w:hint="eastAsia"/>
          <w:color w:val="auto"/>
          <w:lang w:eastAsia="zh-CN"/>
        </w:rPr>
        <w:t>指</w:t>
      </w:r>
      <w:r>
        <w:rPr>
          <w:rFonts w:hint="eastAsia"/>
          <w:color w:val="auto"/>
        </w:rPr>
        <w:t>科研仪器服务本单位科技创新的成效</w:t>
      </w:r>
      <w:r>
        <w:rPr>
          <w:rFonts w:hint="eastAsia"/>
          <w:color w:val="auto"/>
          <w:lang w:eastAsia="zh-CN"/>
        </w:rPr>
        <w:t>，</w:t>
      </w:r>
      <w:r>
        <w:rPr>
          <w:rFonts w:hint="eastAsia"/>
          <w:color w:val="auto"/>
        </w:rPr>
        <w:t>包括支撑国家重大科研任务情况以及相关研究成果的产出、水平与贡献等。</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（三）共享服务成效（25分）</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highlight w:val="none"/>
        </w:rPr>
        <w:t>1.共享率（</w:t>
      </w:r>
      <w:r>
        <w:rPr>
          <w:rFonts w:hint="default"/>
          <w:color w:val="auto"/>
          <w:highlight w:val="none"/>
          <w:lang w:val="en-US"/>
        </w:rPr>
        <w:t>20</w:t>
      </w:r>
      <w:r>
        <w:rPr>
          <w:rFonts w:hint="eastAsia"/>
          <w:color w:val="auto"/>
          <w:highlight w:val="none"/>
        </w:rPr>
        <w:t>分）。科研仪器年平均对外服务机时与年平</w:t>
      </w:r>
      <w:r>
        <w:rPr>
          <w:rFonts w:hint="eastAsia"/>
          <w:color w:val="auto"/>
        </w:rPr>
        <w:t>均运行机时的比值。</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2.用户评价（</w:t>
      </w:r>
      <w:r>
        <w:rPr>
          <w:rFonts w:hint="default"/>
          <w:color w:val="auto"/>
          <w:lang w:val="en-US"/>
        </w:rPr>
        <w:t>5</w:t>
      </w:r>
      <w:r>
        <w:rPr>
          <w:rFonts w:hint="eastAsia"/>
          <w:color w:val="auto"/>
        </w:rPr>
        <w:t>分）。包括服务效率、用户满意度评价等。</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七、考核评价流程</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color w:val="auto"/>
        </w:rPr>
        <w:t>市科技创新</w:t>
      </w:r>
      <w:r>
        <w:rPr>
          <w:rFonts w:hint="eastAsia"/>
          <w:color w:val="auto"/>
          <w:lang w:eastAsia="zh-CN"/>
        </w:rPr>
        <w:t>局</w:t>
      </w:r>
      <w:r>
        <w:rPr>
          <w:color w:val="auto"/>
        </w:rPr>
        <w:t>组织开展本市科研仪器开放共享服务考核评价工作，具体工作由深圳市</w:t>
      </w:r>
      <w:r>
        <w:rPr>
          <w:rFonts w:hint="eastAsia"/>
          <w:color w:val="auto"/>
          <w:lang w:eastAsia="zh-CN"/>
        </w:rPr>
        <w:t>科技创新服务</w:t>
      </w:r>
      <w:r>
        <w:rPr>
          <w:color w:val="auto"/>
        </w:rPr>
        <w:t>中心（以下简称</w:t>
      </w:r>
      <w:r>
        <w:rPr>
          <w:rFonts w:hint="eastAsia"/>
          <w:color w:val="auto"/>
          <w:lang w:eastAsia="zh-CN"/>
        </w:rPr>
        <w:t>服务</w:t>
      </w:r>
      <w:r>
        <w:rPr>
          <w:color w:val="auto"/>
        </w:rPr>
        <w:t>中心）实施。</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（一）</w:t>
      </w:r>
      <w:r>
        <w:rPr>
          <w:rFonts w:hint="eastAsia"/>
          <w:color w:val="auto"/>
        </w:rPr>
        <w:t>发布通知。在</w:t>
      </w:r>
      <w:r>
        <w:rPr>
          <w:color w:val="auto"/>
        </w:rPr>
        <w:t>市科技创新</w:t>
      </w:r>
      <w:r>
        <w:rPr>
          <w:rFonts w:hint="eastAsia"/>
          <w:color w:val="auto"/>
          <w:lang w:eastAsia="zh-CN"/>
        </w:rPr>
        <w:t>局</w:t>
      </w:r>
      <w:r>
        <w:rPr>
          <w:rFonts w:hint="eastAsia"/>
          <w:color w:val="auto"/>
        </w:rPr>
        <w:t>官</w:t>
      </w:r>
      <w:r>
        <w:rPr>
          <w:color w:val="auto"/>
        </w:rPr>
        <w:t>网</w:t>
      </w:r>
      <w:r>
        <w:rPr>
          <w:rFonts w:hint="eastAsia"/>
          <w:color w:val="auto"/>
        </w:rPr>
        <w:t>发布考核评价工作通知，明确考核评价具体内容和要求。</w:t>
      </w:r>
    </w:p>
    <w:p>
      <w:pPr>
        <w:pStyle w:val="4"/>
        <w:keepNext w:val="0"/>
        <w:keepLines w:val="0"/>
        <w:pageBreakBefore w:val="0"/>
        <w:widowControl w:val="0"/>
        <w:numPr>
          <w:ilvl w:val="-1"/>
          <w:numId w:val="0"/>
        </w:numPr>
        <w:kinsoku/>
        <w:wordWrap w:val="0"/>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（二）</w:t>
      </w:r>
      <w:r>
        <w:rPr>
          <w:rFonts w:hint="eastAsia"/>
          <w:color w:val="auto"/>
        </w:rPr>
        <w:t>提交材料。</w:t>
      </w:r>
      <w:r>
        <w:rPr>
          <w:color w:val="auto"/>
        </w:rPr>
        <w:t>管理单位</w:t>
      </w:r>
      <w:r>
        <w:rPr>
          <w:rFonts w:hint="eastAsia"/>
          <w:color w:val="auto"/>
          <w:lang w:eastAsia="zh-CN"/>
        </w:rPr>
        <w:t>按照考核评价工作通知要求，开展自评，按时报送考核评价相关材料</w:t>
      </w:r>
      <w:bookmarkStart w:id="0" w:name="_GoBack"/>
      <w:bookmarkEnd w:id="0"/>
      <w:r>
        <w:rPr>
          <w:rFonts w:hint="eastAsia"/>
          <w:color w:val="auto"/>
          <w:lang w:eastAsia="zh-CN"/>
        </w:rPr>
        <w:t>。</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（三）</w:t>
      </w:r>
      <w:r>
        <w:rPr>
          <w:rFonts w:hint="eastAsia"/>
          <w:color w:val="auto"/>
        </w:rPr>
        <w:t>材料初审。</w:t>
      </w:r>
      <w:r>
        <w:rPr>
          <w:rFonts w:hint="eastAsia"/>
          <w:color w:val="auto"/>
          <w:lang w:eastAsia="zh-CN"/>
        </w:rPr>
        <w:t>服务</w:t>
      </w:r>
      <w:r>
        <w:rPr>
          <w:color w:val="auto"/>
        </w:rPr>
        <w:t>中心对</w:t>
      </w:r>
      <w:r>
        <w:rPr>
          <w:rFonts w:hint="eastAsia"/>
          <w:color w:val="auto"/>
        </w:rPr>
        <w:t>管理单位</w:t>
      </w:r>
      <w:r>
        <w:rPr>
          <w:rFonts w:hint="eastAsia"/>
          <w:color w:val="auto"/>
          <w:lang w:eastAsia="zh-CN"/>
        </w:rPr>
        <w:t>填报</w:t>
      </w:r>
      <w:r>
        <w:rPr>
          <w:rFonts w:hint="eastAsia"/>
          <w:color w:val="auto"/>
        </w:rPr>
        <w:t>的</w:t>
      </w:r>
      <w:r>
        <w:rPr>
          <w:color w:val="auto"/>
        </w:rPr>
        <w:t>材料进行形式审查</w:t>
      </w:r>
      <w:r>
        <w:rPr>
          <w:rFonts w:hint="eastAsia"/>
          <w:color w:val="auto"/>
        </w:rPr>
        <w:t>。</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（四）</w:t>
      </w:r>
      <w:r>
        <w:rPr>
          <w:rFonts w:hint="eastAsia"/>
          <w:color w:val="auto"/>
        </w:rPr>
        <w:t>集中评审。</w:t>
      </w:r>
      <w:r>
        <w:rPr>
          <w:rFonts w:hint="eastAsia"/>
          <w:color w:val="auto"/>
          <w:lang w:eastAsia="zh-CN"/>
        </w:rPr>
        <w:t>服务</w:t>
      </w:r>
      <w:r>
        <w:rPr>
          <w:rFonts w:hint="eastAsia"/>
          <w:color w:val="auto"/>
        </w:rPr>
        <w:t>中心</w:t>
      </w:r>
      <w:r>
        <w:rPr>
          <w:color w:val="auto"/>
        </w:rPr>
        <w:t>组织专家</w:t>
      </w:r>
      <w:r>
        <w:rPr>
          <w:rFonts w:hint="eastAsia"/>
          <w:color w:val="auto"/>
        </w:rPr>
        <w:t>对管理单位</w:t>
      </w:r>
      <w:r>
        <w:rPr>
          <w:rFonts w:hint="eastAsia"/>
          <w:color w:val="auto"/>
          <w:lang w:eastAsia="zh-CN"/>
        </w:rPr>
        <w:t>填报</w:t>
      </w:r>
      <w:r>
        <w:rPr>
          <w:rFonts w:hint="eastAsia"/>
          <w:color w:val="auto"/>
        </w:rPr>
        <w:t>的材料</w:t>
      </w:r>
      <w:r>
        <w:rPr>
          <w:color w:val="auto"/>
        </w:rPr>
        <w:t>进行集中评审。</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（五）</w:t>
      </w:r>
      <w:r>
        <w:rPr>
          <w:rFonts w:hint="eastAsia"/>
          <w:color w:val="auto"/>
        </w:rPr>
        <w:t>现场核查。在集中评审的基础上，</w:t>
      </w:r>
      <w:r>
        <w:rPr>
          <w:rFonts w:hint="eastAsia"/>
          <w:color w:val="auto"/>
          <w:lang w:eastAsia="zh-CN"/>
        </w:rPr>
        <w:t>服务</w:t>
      </w:r>
      <w:r>
        <w:rPr>
          <w:color w:val="auto"/>
        </w:rPr>
        <w:t>中心根据专家评审</w:t>
      </w:r>
      <w:r>
        <w:rPr>
          <w:rFonts w:hint="eastAsia"/>
          <w:color w:val="auto"/>
          <w:lang w:eastAsia="zh-CN"/>
        </w:rPr>
        <w:t>结果</w:t>
      </w:r>
      <w:r>
        <w:rPr>
          <w:color w:val="auto"/>
        </w:rPr>
        <w:t>，对</w:t>
      </w:r>
      <w:r>
        <w:rPr>
          <w:rFonts w:hint="eastAsia"/>
          <w:color w:val="auto"/>
          <w:lang w:eastAsia="zh-CN"/>
        </w:rPr>
        <w:t>进入资助范围的</w:t>
      </w:r>
      <w:r>
        <w:rPr>
          <w:color w:val="auto"/>
        </w:rPr>
        <w:t>管理单位进行现场核查</w:t>
      </w:r>
      <w:r>
        <w:rPr>
          <w:rFonts w:hint="eastAsia"/>
          <w:color w:val="auto"/>
        </w:rPr>
        <w:t>。</w:t>
      </w:r>
      <w:r>
        <w:rPr>
          <w:color w:val="auto"/>
        </w:rPr>
        <w:t>现场核查内容为管理单位202</w:t>
      </w:r>
      <w:r>
        <w:rPr>
          <w:rFonts w:hint="eastAsia"/>
          <w:color w:val="auto"/>
          <w:lang w:val="en-US" w:eastAsia="zh-CN"/>
        </w:rPr>
        <w:t>3</w:t>
      </w:r>
      <w:r>
        <w:rPr>
          <w:rFonts w:hint="eastAsia"/>
          <w:color w:val="auto"/>
        </w:rPr>
        <w:t>年</w:t>
      </w:r>
      <w:r>
        <w:rPr>
          <w:color w:val="auto"/>
        </w:rPr>
        <w:t>度科研仪器开放共享的相关原始记录等。</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（六）</w:t>
      </w:r>
      <w:r>
        <w:rPr>
          <w:rFonts w:hint="eastAsia"/>
          <w:color w:val="auto"/>
        </w:rPr>
        <w:t>形成考核评价结果。</w:t>
      </w:r>
      <w:r>
        <w:rPr>
          <w:rFonts w:hint="eastAsia"/>
          <w:color w:val="auto"/>
          <w:lang w:eastAsia="zh-CN"/>
        </w:rPr>
        <w:t>服务</w:t>
      </w:r>
      <w:r>
        <w:rPr>
          <w:rFonts w:hint="eastAsia"/>
          <w:color w:val="auto"/>
        </w:rPr>
        <w:t>中心根据专家</w:t>
      </w:r>
      <w:r>
        <w:rPr>
          <w:color w:val="auto"/>
        </w:rPr>
        <w:t>集中</w:t>
      </w:r>
      <w:r>
        <w:rPr>
          <w:rFonts w:hint="eastAsia"/>
          <w:color w:val="auto"/>
        </w:rPr>
        <w:t>评审</w:t>
      </w:r>
      <w:r>
        <w:rPr>
          <w:color w:val="auto"/>
        </w:rPr>
        <w:t>和现场核查</w:t>
      </w:r>
      <w:r>
        <w:rPr>
          <w:rFonts w:hint="eastAsia"/>
          <w:color w:val="auto"/>
        </w:rPr>
        <w:t>的综合评分</w:t>
      </w:r>
      <w:r>
        <w:rPr>
          <w:color w:val="auto"/>
        </w:rPr>
        <w:t>确定考核</w:t>
      </w:r>
      <w:r>
        <w:rPr>
          <w:rFonts w:hint="eastAsia"/>
          <w:color w:val="auto"/>
        </w:rPr>
        <w:t>评价</w:t>
      </w:r>
      <w:r>
        <w:rPr>
          <w:color w:val="auto"/>
        </w:rPr>
        <w:t>结果。</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hint="eastAsia"/>
          <w:color w:val="auto"/>
        </w:rPr>
      </w:pPr>
      <w:r>
        <w:rPr>
          <w:rFonts w:hint="eastAsia"/>
          <w:color w:val="auto"/>
        </w:rPr>
        <w:t>（七）考核评价结果公示。考核评价结果在市科技创新</w:t>
      </w:r>
      <w:r>
        <w:rPr>
          <w:rFonts w:hint="eastAsia"/>
          <w:color w:val="auto"/>
          <w:lang w:eastAsia="zh-CN"/>
        </w:rPr>
        <w:t>局</w:t>
      </w:r>
      <w:r>
        <w:rPr>
          <w:rFonts w:hint="eastAsia"/>
          <w:color w:val="auto"/>
        </w:rPr>
        <w:t>官网进行公示，公示期5个工作日。</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（八）</w:t>
      </w:r>
      <w:r>
        <w:rPr>
          <w:rFonts w:hint="eastAsia"/>
          <w:color w:val="auto"/>
        </w:rPr>
        <w:t>对考核评价结果为较差的管理单位进行约谈，并督导其限期整改。</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八、考核评价结果</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根据专家集中评审和现场核查的综合评分确定考核评价结果，考核评价结果分为优秀、良好、合格和较差四个等级。综合评分60分以上且排名前15的管理单位为良好，其中综合评分排名前5的管理单位为优秀，综合评分低于60分的管理单位考核评价结果为较差，其他为合格。</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有以下情况之一的考核评价结果为较差：</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1.无不可抗力因素，逾期不上报材料的；</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2.上报材料内容和数据严重虚假，或有其他违规违法行为的。</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rFonts w:ascii="黑体" w:hAnsi="黑体" w:eastAsia="黑体" w:cs="黑体"/>
          <w:color w:val="auto"/>
        </w:rPr>
      </w:pPr>
      <w:r>
        <w:rPr>
          <w:rFonts w:hint="eastAsia" w:ascii="黑体" w:hAnsi="黑体" w:eastAsia="黑体" w:cs="黑体"/>
          <w:color w:val="auto"/>
        </w:rPr>
        <w:t>九、考核评价结果应用</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（一）考核评价结果报科技设施和科研仪器开放共享评议委员会备案，作为本市科研仪器购置审批的重要参考依据。</w:t>
      </w:r>
    </w:p>
    <w:p>
      <w:pPr>
        <w:pStyle w:val="4"/>
        <w:keepNext w:val="0"/>
        <w:keepLines w:val="0"/>
        <w:pageBreakBefore w:val="0"/>
        <w:widowControl w:val="0"/>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rPr>
        <w:t>考核评价结果为优秀的管理单位申请市财政资金投入购置科研仪器的，经费（项目）审批部门应当在同等条件下优先批准其购置申请。</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640" w:firstLineChars="200"/>
        <w:jc w:val="left"/>
        <w:textAlignment w:val="auto"/>
        <w:rPr>
          <w:color w:val="auto"/>
        </w:rPr>
      </w:pPr>
      <w:r>
        <w:rPr>
          <w:rFonts w:hint="eastAsia"/>
          <w:color w:val="auto"/>
          <w:lang w:eastAsia="zh-CN"/>
        </w:rPr>
        <w:t>（二）</w:t>
      </w:r>
      <w:r>
        <w:rPr>
          <w:rFonts w:hint="eastAsia"/>
          <w:color w:val="auto"/>
        </w:rPr>
        <w:t>对参与考核评价的科研仪器原值总计在500万元人</w:t>
      </w:r>
      <w:r>
        <w:rPr>
          <w:color w:val="auto"/>
        </w:rPr>
        <w:t>民币</w:t>
      </w:r>
      <w:r>
        <w:rPr>
          <w:rFonts w:hint="eastAsia"/>
          <w:color w:val="auto"/>
        </w:rPr>
        <w:t>（含）以上，且考核评价结果为良好及以上的管理单位给予资助。其中，获得资助的管理单位利用非财政资金或本市财政资金投入50万元人</w:t>
      </w:r>
      <w:r>
        <w:rPr>
          <w:color w:val="auto"/>
        </w:rPr>
        <w:t>民币</w:t>
      </w:r>
      <w:r>
        <w:rPr>
          <w:rFonts w:hint="eastAsia"/>
          <w:color w:val="auto"/>
        </w:rPr>
        <w:t>以下以及超过使用年限仍保持良好运行状态且开放共享的科研仪器数量达到本单位参与考核评价的科研仪器总数量5%以上，资助标准上浮10%。</w:t>
      </w:r>
    </w:p>
    <w:p>
      <w:pPr>
        <w:pStyle w:val="4"/>
        <w:keepNext w:val="0"/>
        <w:keepLines w:val="0"/>
        <w:pageBreakBefore w:val="0"/>
        <w:widowControl w:val="0"/>
        <w:numPr>
          <w:ilvl w:val="-1"/>
          <w:numId w:val="0"/>
        </w:numPr>
        <w:kinsoku/>
        <w:wordWrap/>
        <w:overflowPunct/>
        <w:topLinePunct w:val="0"/>
        <w:autoSpaceDE/>
        <w:autoSpaceDN/>
        <w:bidi w:val="0"/>
        <w:spacing w:after="0" w:line="530" w:lineRule="exact"/>
        <w:ind w:firstLine="1920" w:firstLineChars="600"/>
        <w:jc w:val="left"/>
        <w:textAlignment w:val="auto"/>
        <w:rPr>
          <w:rFonts w:hint="eastAsia" w:eastAsia="仿宋_GB2312" w:cs="仿宋_GB2312"/>
          <w:color w:val="auto"/>
          <w:kern w:val="0"/>
          <w:szCs w:val="32"/>
          <w:lang w:val="en-US" w:eastAsia="zh-CN"/>
        </w:rPr>
      </w:pPr>
    </w:p>
    <w:sectPr>
      <w:footerReference r:id="rId3" w:type="default"/>
      <w:pgSz w:w="11906" w:h="16838"/>
      <w:pgMar w:top="2098" w:right="1474" w:bottom="1984"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hkYmZhMDM1Yjc3NmQwZGRjODZiZmFlZTM3ZmYifQ=="/>
  </w:docVars>
  <w:rsids>
    <w:rsidRoot w:val="003F727A"/>
    <w:rsid w:val="001276A2"/>
    <w:rsid w:val="00164BC8"/>
    <w:rsid w:val="001B0BC0"/>
    <w:rsid w:val="00383E1A"/>
    <w:rsid w:val="003F727A"/>
    <w:rsid w:val="00452274"/>
    <w:rsid w:val="005D2B2F"/>
    <w:rsid w:val="006B608F"/>
    <w:rsid w:val="008C5199"/>
    <w:rsid w:val="00B44DE3"/>
    <w:rsid w:val="00B811A1"/>
    <w:rsid w:val="00BC5649"/>
    <w:rsid w:val="011B47B3"/>
    <w:rsid w:val="013C06BC"/>
    <w:rsid w:val="01635C49"/>
    <w:rsid w:val="019B3634"/>
    <w:rsid w:val="01B22260"/>
    <w:rsid w:val="01E340DE"/>
    <w:rsid w:val="021F6B69"/>
    <w:rsid w:val="02251150"/>
    <w:rsid w:val="025F4FDD"/>
    <w:rsid w:val="029C3B08"/>
    <w:rsid w:val="02B80984"/>
    <w:rsid w:val="034A5312"/>
    <w:rsid w:val="03942A31"/>
    <w:rsid w:val="03C350C4"/>
    <w:rsid w:val="03DA5CF3"/>
    <w:rsid w:val="04363AE8"/>
    <w:rsid w:val="04531D93"/>
    <w:rsid w:val="04B70785"/>
    <w:rsid w:val="04BA5F4F"/>
    <w:rsid w:val="04BC1D77"/>
    <w:rsid w:val="04D550AF"/>
    <w:rsid w:val="04E76E8A"/>
    <w:rsid w:val="05371736"/>
    <w:rsid w:val="05793C8D"/>
    <w:rsid w:val="057C19CF"/>
    <w:rsid w:val="05880374"/>
    <w:rsid w:val="059A794B"/>
    <w:rsid w:val="05BC1DCB"/>
    <w:rsid w:val="05CC0260"/>
    <w:rsid w:val="05F23A3F"/>
    <w:rsid w:val="063F649B"/>
    <w:rsid w:val="0671705A"/>
    <w:rsid w:val="067F1777"/>
    <w:rsid w:val="06DF0467"/>
    <w:rsid w:val="0700754C"/>
    <w:rsid w:val="070B300A"/>
    <w:rsid w:val="071011BD"/>
    <w:rsid w:val="074447D4"/>
    <w:rsid w:val="076B29D6"/>
    <w:rsid w:val="07723448"/>
    <w:rsid w:val="079A613C"/>
    <w:rsid w:val="08114679"/>
    <w:rsid w:val="084C5688"/>
    <w:rsid w:val="085E716A"/>
    <w:rsid w:val="0893471C"/>
    <w:rsid w:val="08ED3A81"/>
    <w:rsid w:val="090346C6"/>
    <w:rsid w:val="090D25F9"/>
    <w:rsid w:val="09776422"/>
    <w:rsid w:val="097F4D91"/>
    <w:rsid w:val="09D678FF"/>
    <w:rsid w:val="0A27211A"/>
    <w:rsid w:val="0A8D7764"/>
    <w:rsid w:val="0B153DB2"/>
    <w:rsid w:val="0B173751"/>
    <w:rsid w:val="0B48482D"/>
    <w:rsid w:val="0B5538BD"/>
    <w:rsid w:val="0B6E0F19"/>
    <w:rsid w:val="0B950894"/>
    <w:rsid w:val="0BD7170D"/>
    <w:rsid w:val="0C0D15D3"/>
    <w:rsid w:val="0C3939EE"/>
    <w:rsid w:val="0CA46017"/>
    <w:rsid w:val="0CBB4B8B"/>
    <w:rsid w:val="0CC003F3"/>
    <w:rsid w:val="0CF06F2A"/>
    <w:rsid w:val="0D004C93"/>
    <w:rsid w:val="0D13097E"/>
    <w:rsid w:val="0D6661D1"/>
    <w:rsid w:val="0DE9794D"/>
    <w:rsid w:val="0E5139F9"/>
    <w:rsid w:val="0E903A45"/>
    <w:rsid w:val="0FE50F5E"/>
    <w:rsid w:val="10120F66"/>
    <w:rsid w:val="1077A8E5"/>
    <w:rsid w:val="10920DB6"/>
    <w:rsid w:val="10B262A5"/>
    <w:rsid w:val="10C0444C"/>
    <w:rsid w:val="11C4315F"/>
    <w:rsid w:val="11F20177"/>
    <w:rsid w:val="122B154C"/>
    <w:rsid w:val="12635AA8"/>
    <w:rsid w:val="12922832"/>
    <w:rsid w:val="12D60FFF"/>
    <w:rsid w:val="13030D78"/>
    <w:rsid w:val="130628D8"/>
    <w:rsid w:val="13073B6D"/>
    <w:rsid w:val="13767A5D"/>
    <w:rsid w:val="13E470BD"/>
    <w:rsid w:val="13EF5D49"/>
    <w:rsid w:val="13F435D4"/>
    <w:rsid w:val="14184FB8"/>
    <w:rsid w:val="14481FC7"/>
    <w:rsid w:val="147E306D"/>
    <w:rsid w:val="14FE5F5C"/>
    <w:rsid w:val="15082937"/>
    <w:rsid w:val="1534197E"/>
    <w:rsid w:val="154020D1"/>
    <w:rsid w:val="15593193"/>
    <w:rsid w:val="156811FA"/>
    <w:rsid w:val="15827AD7"/>
    <w:rsid w:val="15A9309A"/>
    <w:rsid w:val="15B42ABF"/>
    <w:rsid w:val="15D26333"/>
    <w:rsid w:val="1606331B"/>
    <w:rsid w:val="16223ECC"/>
    <w:rsid w:val="1659573E"/>
    <w:rsid w:val="16E10139"/>
    <w:rsid w:val="16E838E8"/>
    <w:rsid w:val="16F65209"/>
    <w:rsid w:val="171C091C"/>
    <w:rsid w:val="172F68A1"/>
    <w:rsid w:val="17B40B54"/>
    <w:rsid w:val="180E64B6"/>
    <w:rsid w:val="182715A8"/>
    <w:rsid w:val="1880365D"/>
    <w:rsid w:val="18C82B09"/>
    <w:rsid w:val="1920458C"/>
    <w:rsid w:val="194C7503"/>
    <w:rsid w:val="198F1879"/>
    <w:rsid w:val="19C95C37"/>
    <w:rsid w:val="19CD2A58"/>
    <w:rsid w:val="1A8D5EED"/>
    <w:rsid w:val="1AEE6B90"/>
    <w:rsid w:val="1B103694"/>
    <w:rsid w:val="1B16047E"/>
    <w:rsid w:val="1B244243"/>
    <w:rsid w:val="1B656D35"/>
    <w:rsid w:val="1CC45CDD"/>
    <w:rsid w:val="1CE80E2E"/>
    <w:rsid w:val="1CFB590A"/>
    <w:rsid w:val="1D1523D8"/>
    <w:rsid w:val="1D727401"/>
    <w:rsid w:val="1DB4365C"/>
    <w:rsid w:val="1DE92804"/>
    <w:rsid w:val="1E0068A1"/>
    <w:rsid w:val="1E6A4438"/>
    <w:rsid w:val="1EAE09F3"/>
    <w:rsid w:val="1F3507CD"/>
    <w:rsid w:val="1F550E6F"/>
    <w:rsid w:val="1F6F4F65"/>
    <w:rsid w:val="1FCD4EA9"/>
    <w:rsid w:val="20014B53"/>
    <w:rsid w:val="20936589"/>
    <w:rsid w:val="21031C77"/>
    <w:rsid w:val="21D818E3"/>
    <w:rsid w:val="21E4647E"/>
    <w:rsid w:val="22462CF1"/>
    <w:rsid w:val="226F2247"/>
    <w:rsid w:val="22765384"/>
    <w:rsid w:val="22833F45"/>
    <w:rsid w:val="22A7378F"/>
    <w:rsid w:val="22FB7715"/>
    <w:rsid w:val="2308151D"/>
    <w:rsid w:val="234E4553"/>
    <w:rsid w:val="2357754A"/>
    <w:rsid w:val="23672A60"/>
    <w:rsid w:val="23906919"/>
    <w:rsid w:val="23BD42D1"/>
    <w:rsid w:val="23FE1C9A"/>
    <w:rsid w:val="24253506"/>
    <w:rsid w:val="242904D4"/>
    <w:rsid w:val="24565E52"/>
    <w:rsid w:val="24831C16"/>
    <w:rsid w:val="25733DFD"/>
    <w:rsid w:val="259649EF"/>
    <w:rsid w:val="25A771AD"/>
    <w:rsid w:val="262D48F3"/>
    <w:rsid w:val="26482D66"/>
    <w:rsid w:val="26E43CA7"/>
    <w:rsid w:val="27391076"/>
    <w:rsid w:val="27427F2B"/>
    <w:rsid w:val="275D6B12"/>
    <w:rsid w:val="279075B8"/>
    <w:rsid w:val="27B5066E"/>
    <w:rsid w:val="27B52C98"/>
    <w:rsid w:val="28245882"/>
    <w:rsid w:val="28441A80"/>
    <w:rsid w:val="285C326E"/>
    <w:rsid w:val="2879521A"/>
    <w:rsid w:val="28BE5CD7"/>
    <w:rsid w:val="28D975D6"/>
    <w:rsid w:val="28FD768B"/>
    <w:rsid w:val="295114BD"/>
    <w:rsid w:val="29E32440"/>
    <w:rsid w:val="29FA2D3E"/>
    <w:rsid w:val="2A0C569A"/>
    <w:rsid w:val="2A20658C"/>
    <w:rsid w:val="2A286C31"/>
    <w:rsid w:val="2A414918"/>
    <w:rsid w:val="2AA739F8"/>
    <w:rsid w:val="2B1F5AB9"/>
    <w:rsid w:val="2B26292F"/>
    <w:rsid w:val="2B8F395A"/>
    <w:rsid w:val="2BD72CB5"/>
    <w:rsid w:val="2C306A5C"/>
    <w:rsid w:val="2C4205F5"/>
    <w:rsid w:val="2C510EEA"/>
    <w:rsid w:val="2C654FEB"/>
    <w:rsid w:val="2C8C4657"/>
    <w:rsid w:val="2CFC5020"/>
    <w:rsid w:val="2D3A16A4"/>
    <w:rsid w:val="2D4C63B1"/>
    <w:rsid w:val="2D5C5CEE"/>
    <w:rsid w:val="2DC97D19"/>
    <w:rsid w:val="2E6B1950"/>
    <w:rsid w:val="2E7345E0"/>
    <w:rsid w:val="2E8250B1"/>
    <w:rsid w:val="2EDE76A0"/>
    <w:rsid w:val="2F264EAC"/>
    <w:rsid w:val="2F5E167A"/>
    <w:rsid w:val="2FBBCA0D"/>
    <w:rsid w:val="305E40AD"/>
    <w:rsid w:val="320E5A66"/>
    <w:rsid w:val="323FADC0"/>
    <w:rsid w:val="32564FC1"/>
    <w:rsid w:val="326E5C88"/>
    <w:rsid w:val="329D40A9"/>
    <w:rsid w:val="32BB443B"/>
    <w:rsid w:val="32EF1A7A"/>
    <w:rsid w:val="332E3809"/>
    <w:rsid w:val="335A2F76"/>
    <w:rsid w:val="33865906"/>
    <w:rsid w:val="33AD7863"/>
    <w:rsid w:val="33C05D04"/>
    <w:rsid w:val="34116914"/>
    <w:rsid w:val="342C0C64"/>
    <w:rsid w:val="343B467F"/>
    <w:rsid w:val="34CA69CE"/>
    <w:rsid w:val="35531555"/>
    <w:rsid w:val="35592239"/>
    <w:rsid w:val="35A85D44"/>
    <w:rsid w:val="35CF32D1"/>
    <w:rsid w:val="36545AE5"/>
    <w:rsid w:val="36733125"/>
    <w:rsid w:val="367B6FB5"/>
    <w:rsid w:val="3767B437"/>
    <w:rsid w:val="37A56541"/>
    <w:rsid w:val="37EE365D"/>
    <w:rsid w:val="38156F95"/>
    <w:rsid w:val="386107A9"/>
    <w:rsid w:val="38984746"/>
    <w:rsid w:val="38D459D1"/>
    <w:rsid w:val="39253208"/>
    <w:rsid w:val="39605561"/>
    <w:rsid w:val="3A085004"/>
    <w:rsid w:val="3A1C2A3F"/>
    <w:rsid w:val="3A5C0EAC"/>
    <w:rsid w:val="3A6D4E67"/>
    <w:rsid w:val="3A7D11D4"/>
    <w:rsid w:val="3A991FC1"/>
    <w:rsid w:val="3AB15861"/>
    <w:rsid w:val="3B1C0AA6"/>
    <w:rsid w:val="3B9B7493"/>
    <w:rsid w:val="3BDB4DCD"/>
    <w:rsid w:val="3BE76862"/>
    <w:rsid w:val="3C0C1E9A"/>
    <w:rsid w:val="3C5E2E66"/>
    <w:rsid w:val="3C886131"/>
    <w:rsid w:val="3C9012E0"/>
    <w:rsid w:val="3C9D2CE2"/>
    <w:rsid w:val="3D6A1B31"/>
    <w:rsid w:val="3E155F41"/>
    <w:rsid w:val="3E4528FB"/>
    <w:rsid w:val="3E536CBB"/>
    <w:rsid w:val="3EE92116"/>
    <w:rsid w:val="3EF79821"/>
    <w:rsid w:val="3F211072"/>
    <w:rsid w:val="3F607C2D"/>
    <w:rsid w:val="3F8B62DA"/>
    <w:rsid w:val="3FA0183A"/>
    <w:rsid w:val="3FA551C9"/>
    <w:rsid w:val="3FA72BC9"/>
    <w:rsid w:val="3FE36702"/>
    <w:rsid w:val="407507D4"/>
    <w:rsid w:val="409018AF"/>
    <w:rsid w:val="409F75D9"/>
    <w:rsid w:val="41925C04"/>
    <w:rsid w:val="42277FF1"/>
    <w:rsid w:val="423F17DF"/>
    <w:rsid w:val="425B7C9B"/>
    <w:rsid w:val="42FD7877"/>
    <w:rsid w:val="437333A3"/>
    <w:rsid w:val="43881A96"/>
    <w:rsid w:val="43A01E09"/>
    <w:rsid w:val="4413082D"/>
    <w:rsid w:val="444D1E13"/>
    <w:rsid w:val="448F69BF"/>
    <w:rsid w:val="44EA1EB9"/>
    <w:rsid w:val="45336CAD"/>
    <w:rsid w:val="456F4999"/>
    <w:rsid w:val="4575131D"/>
    <w:rsid w:val="46601D24"/>
    <w:rsid w:val="46974919"/>
    <w:rsid w:val="46BD3219"/>
    <w:rsid w:val="46D02A05"/>
    <w:rsid w:val="47062BE5"/>
    <w:rsid w:val="4707219F"/>
    <w:rsid w:val="473016F6"/>
    <w:rsid w:val="47CB486B"/>
    <w:rsid w:val="47D33DBB"/>
    <w:rsid w:val="47FD3CCE"/>
    <w:rsid w:val="484A4A39"/>
    <w:rsid w:val="486D2078"/>
    <w:rsid w:val="48D2311E"/>
    <w:rsid w:val="493070DF"/>
    <w:rsid w:val="496F29A9"/>
    <w:rsid w:val="49A63EF1"/>
    <w:rsid w:val="49D96075"/>
    <w:rsid w:val="49F13429"/>
    <w:rsid w:val="4A023113"/>
    <w:rsid w:val="4A2B54AE"/>
    <w:rsid w:val="4A761B16"/>
    <w:rsid w:val="4B4052C8"/>
    <w:rsid w:val="4B9C55AC"/>
    <w:rsid w:val="4BA85D14"/>
    <w:rsid w:val="4D467EC5"/>
    <w:rsid w:val="4D8C4FAD"/>
    <w:rsid w:val="4DE05C7B"/>
    <w:rsid w:val="4DF41807"/>
    <w:rsid w:val="4E0232F8"/>
    <w:rsid w:val="4E061402"/>
    <w:rsid w:val="4E1A3F1E"/>
    <w:rsid w:val="4E5372D3"/>
    <w:rsid w:val="4E7D739D"/>
    <w:rsid w:val="4F3855EC"/>
    <w:rsid w:val="4F764366"/>
    <w:rsid w:val="4F822CFD"/>
    <w:rsid w:val="4F9842DC"/>
    <w:rsid w:val="50394FDA"/>
    <w:rsid w:val="50537FDF"/>
    <w:rsid w:val="507C50FA"/>
    <w:rsid w:val="508970E4"/>
    <w:rsid w:val="50A61399"/>
    <w:rsid w:val="50AB1369"/>
    <w:rsid w:val="50BC224C"/>
    <w:rsid w:val="50D16134"/>
    <w:rsid w:val="50D674E9"/>
    <w:rsid w:val="51521EE8"/>
    <w:rsid w:val="51711289"/>
    <w:rsid w:val="5183355F"/>
    <w:rsid w:val="51BB6A20"/>
    <w:rsid w:val="51BC69A8"/>
    <w:rsid w:val="51E004F8"/>
    <w:rsid w:val="51E326AC"/>
    <w:rsid w:val="52151C14"/>
    <w:rsid w:val="52354064"/>
    <w:rsid w:val="5237602E"/>
    <w:rsid w:val="523A78CD"/>
    <w:rsid w:val="523F3622"/>
    <w:rsid w:val="528F7C18"/>
    <w:rsid w:val="538F59F6"/>
    <w:rsid w:val="53A56FC8"/>
    <w:rsid w:val="53B65679"/>
    <w:rsid w:val="53C5300C"/>
    <w:rsid w:val="53EB4B82"/>
    <w:rsid w:val="542B41E4"/>
    <w:rsid w:val="54554E92"/>
    <w:rsid w:val="54640C31"/>
    <w:rsid w:val="549B6C4C"/>
    <w:rsid w:val="54B21FC5"/>
    <w:rsid w:val="54B70D41"/>
    <w:rsid w:val="54C66661"/>
    <w:rsid w:val="54C811C0"/>
    <w:rsid w:val="55151FF9"/>
    <w:rsid w:val="55727B3F"/>
    <w:rsid w:val="558D41B7"/>
    <w:rsid w:val="55D43B94"/>
    <w:rsid w:val="56044479"/>
    <w:rsid w:val="561413D6"/>
    <w:rsid w:val="56974F1E"/>
    <w:rsid w:val="56AB3EE8"/>
    <w:rsid w:val="56CF0F2B"/>
    <w:rsid w:val="56E55221"/>
    <w:rsid w:val="56FA587C"/>
    <w:rsid w:val="571935F6"/>
    <w:rsid w:val="57236B81"/>
    <w:rsid w:val="57250B4B"/>
    <w:rsid w:val="574B7E86"/>
    <w:rsid w:val="585105A9"/>
    <w:rsid w:val="585F3438"/>
    <w:rsid w:val="587C40F5"/>
    <w:rsid w:val="588E698A"/>
    <w:rsid w:val="58AB18BB"/>
    <w:rsid w:val="58E6430A"/>
    <w:rsid w:val="58FC58DC"/>
    <w:rsid w:val="590F3861"/>
    <w:rsid w:val="5913666C"/>
    <w:rsid w:val="59401C6C"/>
    <w:rsid w:val="599C0826"/>
    <w:rsid w:val="59A85A64"/>
    <w:rsid w:val="59DE4FE1"/>
    <w:rsid w:val="5A0807C2"/>
    <w:rsid w:val="5A094754"/>
    <w:rsid w:val="5A344942"/>
    <w:rsid w:val="5A3B2810"/>
    <w:rsid w:val="5A4E568B"/>
    <w:rsid w:val="5AB178D1"/>
    <w:rsid w:val="5B4A7C33"/>
    <w:rsid w:val="5B5C7208"/>
    <w:rsid w:val="5B5E287E"/>
    <w:rsid w:val="5B8E106E"/>
    <w:rsid w:val="5C200972"/>
    <w:rsid w:val="5C602CC7"/>
    <w:rsid w:val="5CF70133"/>
    <w:rsid w:val="5D214713"/>
    <w:rsid w:val="5D414205"/>
    <w:rsid w:val="5D4B7080"/>
    <w:rsid w:val="5D897889"/>
    <w:rsid w:val="5DBB3FB7"/>
    <w:rsid w:val="5DE11544"/>
    <w:rsid w:val="5DEA03F9"/>
    <w:rsid w:val="5E21622B"/>
    <w:rsid w:val="5E8C325E"/>
    <w:rsid w:val="5E8C73B5"/>
    <w:rsid w:val="5ED66FD9"/>
    <w:rsid w:val="5EE4309A"/>
    <w:rsid w:val="5EF552A7"/>
    <w:rsid w:val="5F3833E6"/>
    <w:rsid w:val="5F39DEE8"/>
    <w:rsid w:val="5F6D12E1"/>
    <w:rsid w:val="5FBE54FA"/>
    <w:rsid w:val="60233F0B"/>
    <w:rsid w:val="60430294"/>
    <w:rsid w:val="60636240"/>
    <w:rsid w:val="609A5432"/>
    <w:rsid w:val="609D1139"/>
    <w:rsid w:val="60A44AF7"/>
    <w:rsid w:val="61243C22"/>
    <w:rsid w:val="61292B9F"/>
    <w:rsid w:val="613C7F8E"/>
    <w:rsid w:val="61665FE8"/>
    <w:rsid w:val="618D4213"/>
    <w:rsid w:val="618E1483"/>
    <w:rsid w:val="61A93727"/>
    <w:rsid w:val="61AF1221"/>
    <w:rsid w:val="62432866"/>
    <w:rsid w:val="624546A0"/>
    <w:rsid w:val="6252656D"/>
    <w:rsid w:val="62AC58A1"/>
    <w:rsid w:val="62C0797A"/>
    <w:rsid w:val="62CE653B"/>
    <w:rsid w:val="62E74F7D"/>
    <w:rsid w:val="62FD297C"/>
    <w:rsid w:val="634560D1"/>
    <w:rsid w:val="634C7460"/>
    <w:rsid w:val="63690012"/>
    <w:rsid w:val="63807109"/>
    <w:rsid w:val="63BF59D2"/>
    <w:rsid w:val="63C05679"/>
    <w:rsid w:val="63DE512B"/>
    <w:rsid w:val="641E6E1F"/>
    <w:rsid w:val="643A6EFD"/>
    <w:rsid w:val="64942E6C"/>
    <w:rsid w:val="64B33C3A"/>
    <w:rsid w:val="64D67656"/>
    <w:rsid w:val="65385EEE"/>
    <w:rsid w:val="65390930"/>
    <w:rsid w:val="655B4701"/>
    <w:rsid w:val="657B646F"/>
    <w:rsid w:val="659D0447"/>
    <w:rsid w:val="65D04378"/>
    <w:rsid w:val="6646463A"/>
    <w:rsid w:val="669A5089"/>
    <w:rsid w:val="66A575B3"/>
    <w:rsid w:val="66B86CC2"/>
    <w:rsid w:val="66DE8D5F"/>
    <w:rsid w:val="66E520A5"/>
    <w:rsid w:val="67681210"/>
    <w:rsid w:val="678B726D"/>
    <w:rsid w:val="681B1409"/>
    <w:rsid w:val="68272F81"/>
    <w:rsid w:val="6872656E"/>
    <w:rsid w:val="68907DEF"/>
    <w:rsid w:val="68C857DA"/>
    <w:rsid w:val="68FA1C07"/>
    <w:rsid w:val="692A4560"/>
    <w:rsid w:val="696500C9"/>
    <w:rsid w:val="69824C77"/>
    <w:rsid w:val="69A4028E"/>
    <w:rsid w:val="69E71C90"/>
    <w:rsid w:val="6A096026"/>
    <w:rsid w:val="6A4D52EB"/>
    <w:rsid w:val="6A995680"/>
    <w:rsid w:val="6ACB5E82"/>
    <w:rsid w:val="6ACD0E86"/>
    <w:rsid w:val="6B264A3A"/>
    <w:rsid w:val="6B680BAF"/>
    <w:rsid w:val="6B743B44"/>
    <w:rsid w:val="6B850272"/>
    <w:rsid w:val="6BB43218"/>
    <w:rsid w:val="6BEB3929"/>
    <w:rsid w:val="6C6B4A74"/>
    <w:rsid w:val="6C6E48EB"/>
    <w:rsid w:val="6C7A3290"/>
    <w:rsid w:val="6CF748E0"/>
    <w:rsid w:val="6D215146"/>
    <w:rsid w:val="6D6C0608"/>
    <w:rsid w:val="6DE027F9"/>
    <w:rsid w:val="6E14589E"/>
    <w:rsid w:val="6E6D5B12"/>
    <w:rsid w:val="6EF91340"/>
    <w:rsid w:val="6F0E6A9F"/>
    <w:rsid w:val="6F1B1434"/>
    <w:rsid w:val="6F364E4F"/>
    <w:rsid w:val="6F64536E"/>
    <w:rsid w:val="6F6618A9"/>
    <w:rsid w:val="6F6D8D11"/>
    <w:rsid w:val="6FB79C88"/>
    <w:rsid w:val="6FF2111A"/>
    <w:rsid w:val="719F265D"/>
    <w:rsid w:val="71BC2DB7"/>
    <w:rsid w:val="720C6738"/>
    <w:rsid w:val="727644F9"/>
    <w:rsid w:val="72EB234B"/>
    <w:rsid w:val="73932972"/>
    <w:rsid w:val="739C7F8F"/>
    <w:rsid w:val="73E34B8E"/>
    <w:rsid w:val="73F03BAE"/>
    <w:rsid w:val="73FA1061"/>
    <w:rsid w:val="741C5EB1"/>
    <w:rsid w:val="742F4960"/>
    <w:rsid w:val="747635B4"/>
    <w:rsid w:val="74F127C7"/>
    <w:rsid w:val="751D7A3F"/>
    <w:rsid w:val="75AE534A"/>
    <w:rsid w:val="75C01637"/>
    <w:rsid w:val="75E31EA6"/>
    <w:rsid w:val="75FF76E3"/>
    <w:rsid w:val="76752D86"/>
    <w:rsid w:val="76A51D5C"/>
    <w:rsid w:val="76B25806"/>
    <w:rsid w:val="76E23F0B"/>
    <w:rsid w:val="770E081C"/>
    <w:rsid w:val="7718792D"/>
    <w:rsid w:val="771F2201"/>
    <w:rsid w:val="77674410"/>
    <w:rsid w:val="7783143A"/>
    <w:rsid w:val="77CC7E1A"/>
    <w:rsid w:val="77CD0918"/>
    <w:rsid w:val="77EF4B32"/>
    <w:rsid w:val="78175E36"/>
    <w:rsid w:val="78540E39"/>
    <w:rsid w:val="785D5F3F"/>
    <w:rsid w:val="78AF606F"/>
    <w:rsid w:val="78CC6C21"/>
    <w:rsid w:val="78EE0368"/>
    <w:rsid w:val="792B1D82"/>
    <w:rsid w:val="79404F19"/>
    <w:rsid w:val="79412FF8"/>
    <w:rsid w:val="79991823"/>
    <w:rsid w:val="7A2A27A6"/>
    <w:rsid w:val="7A575C09"/>
    <w:rsid w:val="7AC676A0"/>
    <w:rsid w:val="7AE37013"/>
    <w:rsid w:val="7B473F03"/>
    <w:rsid w:val="7B5D5DFE"/>
    <w:rsid w:val="7B763453"/>
    <w:rsid w:val="7B8437E3"/>
    <w:rsid w:val="7B8B32C1"/>
    <w:rsid w:val="7BE32D3D"/>
    <w:rsid w:val="7C101A18"/>
    <w:rsid w:val="7C5B09E8"/>
    <w:rsid w:val="7CAD5042"/>
    <w:rsid w:val="7D417263"/>
    <w:rsid w:val="7D4729AF"/>
    <w:rsid w:val="7D685797"/>
    <w:rsid w:val="7DA4016C"/>
    <w:rsid w:val="7DD10836"/>
    <w:rsid w:val="7DEC7B19"/>
    <w:rsid w:val="7DED1734"/>
    <w:rsid w:val="7DFE1375"/>
    <w:rsid w:val="7E7A403C"/>
    <w:rsid w:val="7E84037B"/>
    <w:rsid w:val="7E9401E1"/>
    <w:rsid w:val="7E9755DB"/>
    <w:rsid w:val="7EB10D93"/>
    <w:rsid w:val="7EDC3936"/>
    <w:rsid w:val="7EE527EB"/>
    <w:rsid w:val="7EE97E4E"/>
    <w:rsid w:val="7EEC1FFB"/>
    <w:rsid w:val="7F3E639F"/>
    <w:rsid w:val="7F5636E8"/>
    <w:rsid w:val="7F774DCF"/>
    <w:rsid w:val="7FAE51DD"/>
    <w:rsid w:val="7FE03072"/>
    <w:rsid w:val="7FEE09F9"/>
    <w:rsid w:val="866F1545"/>
    <w:rsid w:val="8EB7A9B9"/>
    <w:rsid w:val="8FEDBBA4"/>
    <w:rsid w:val="A6F826A2"/>
    <w:rsid w:val="AEF79785"/>
    <w:rsid w:val="CFBF91BF"/>
    <w:rsid w:val="D57FD303"/>
    <w:rsid w:val="D9FF3A05"/>
    <w:rsid w:val="DDDFA7CC"/>
    <w:rsid w:val="E7FFF218"/>
    <w:rsid w:val="EBF70410"/>
    <w:rsid w:val="EBFEE476"/>
    <w:rsid w:val="F6F723C4"/>
    <w:rsid w:val="F7FD94C9"/>
    <w:rsid w:val="FDDEA0D0"/>
    <w:rsid w:val="FFAFB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
      <w:sz w:val="32"/>
    </w:rPr>
  </w:style>
  <w:style w:type="paragraph" w:styleId="3">
    <w:name w:val="Body Text Indent"/>
    <w:basedOn w:val="1"/>
    <w:qFormat/>
    <w:uiPriority w:val="0"/>
    <w:pPr>
      <w:ind w:left="420" w:leftChars="200"/>
    </w:pPr>
  </w:style>
  <w:style w:type="paragraph" w:styleId="4">
    <w:name w:val="Body Text"/>
    <w:basedOn w:val="1"/>
    <w:qFormat/>
    <w:uiPriority w:val="0"/>
    <w:pPr>
      <w:spacing w:after="120"/>
    </w:pPr>
    <w:rPr>
      <w:rFonts w:ascii="仿宋_GB2312" w:hAns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800080"/>
      <w:u w:val="none"/>
    </w:rPr>
  </w:style>
  <w:style w:type="character" w:styleId="11">
    <w:name w:val="Emphasis"/>
    <w:basedOn w:val="9"/>
    <w:qFormat/>
    <w:uiPriority w:val="0"/>
  </w:style>
  <w:style w:type="character" w:styleId="12">
    <w:name w:val="Hyperlink"/>
    <w:basedOn w:val="9"/>
    <w:qFormat/>
    <w:uiPriority w:val="0"/>
    <w:rPr>
      <w:color w:val="0000FF"/>
      <w:u w:val="none"/>
    </w:rPr>
  </w:style>
  <w:style w:type="character" w:customStyle="1" w:styleId="13">
    <w:name w:val="after"/>
    <w:basedOn w:val="9"/>
    <w:qFormat/>
    <w:uiPriority w:val="0"/>
    <w:rPr>
      <w:bdr w:val="single" w:color="B5B5B5" w:sz="6" w:space="0"/>
    </w:rPr>
  </w:style>
  <w:style w:type="character" w:customStyle="1" w:styleId="14">
    <w:name w:val="after1"/>
    <w:basedOn w:val="9"/>
    <w:qFormat/>
    <w:uiPriority w:val="0"/>
    <w:rPr>
      <w:bdr w:val="single" w:color="00A0E9" w:sz="6" w:space="0"/>
      <w:shd w:val="clear" w:color="auto" w:fill="FFFFFF"/>
    </w:rPr>
  </w:style>
  <w:style w:type="character" w:customStyle="1" w:styleId="15">
    <w:name w:val="after2"/>
    <w:basedOn w:val="9"/>
    <w:qFormat/>
    <w:uiPriority w:val="0"/>
  </w:style>
  <w:style w:type="character" w:customStyle="1" w:styleId="16">
    <w:name w:val="after3"/>
    <w:basedOn w:val="9"/>
    <w:qFormat/>
    <w:uiPriority w:val="0"/>
  </w:style>
  <w:style w:type="character" w:customStyle="1" w:styleId="17">
    <w:name w:val="inactives"/>
    <w:basedOn w:val="9"/>
    <w:qFormat/>
    <w:uiPriority w:val="0"/>
    <w:rPr>
      <w:color w:val="005ACA"/>
      <w:u w:val="none"/>
    </w:rPr>
  </w:style>
  <w:style w:type="character" w:customStyle="1" w:styleId="18">
    <w:name w:val="hover8"/>
    <w:basedOn w:val="9"/>
    <w:qFormat/>
    <w:uiPriority w:val="0"/>
    <w:rPr>
      <w:color w:val="205EAA"/>
    </w:rPr>
  </w:style>
  <w:style w:type="character" w:customStyle="1" w:styleId="19">
    <w:name w:val="hover9"/>
    <w:basedOn w:val="9"/>
    <w:qFormat/>
    <w:uiPriority w:val="0"/>
    <w:rPr>
      <w:color w:val="043763"/>
    </w:rPr>
  </w:style>
  <w:style w:type="character" w:customStyle="1" w:styleId="20">
    <w:name w:val="swiper-pagination-bullet-active6"/>
    <w:basedOn w:val="9"/>
    <w:qFormat/>
    <w:uiPriority w:val="0"/>
  </w:style>
  <w:style w:type="character" w:customStyle="1" w:styleId="21">
    <w:name w:val="hover11"/>
    <w:basedOn w:val="9"/>
    <w:qFormat/>
    <w:uiPriority w:val="0"/>
    <w:rPr>
      <w:color w:val="005ACA"/>
      <w:u w:val="none"/>
    </w:rPr>
  </w:style>
  <w:style w:type="character" w:customStyle="1" w:styleId="22">
    <w:name w:val="hover"/>
    <w:basedOn w:val="9"/>
    <w:qFormat/>
    <w:uiPriority w:val="0"/>
    <w:rPr>
      <w:color w:val="005ACA"/>
      <w:u w:val="none"/>
    </w:rPr>
  </w:style>
  <w:style w:type="character" w:customStyle="1" w:styleId="23">
    <w:name w:val="hover1"/>
    <w:basedOn w:val="9"/>
    <w:qFormat/>
    <w:uiPriority w:val="0"/>
    <w:rPr>
      <w:color w:val="043763"/>
    </w:rPr>
  </w:style>
  <w:style w:type="character" w:customStyle="1" w:styleId="24">
    <w:name w:val="hover2"/>
    <w:basedOn w:val="9"/>
    <w:qFormat/>
    <w:uiPriority w:val="0"/>
    <w:rPr>
      <w:color w:val="205EA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Words>
  <Characters>1533</Characters>
  <Lines>12</Lines>
  <Paragraphs>3</Paragraphs>
  <TotalTime>1</TotalTime>
  <ScaleCrop>false</ScaleCrop>
  <LinksUpToDate>false</LinksUpToDate>
  <CharactersWithSpaces>1798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2022-11-10T07:15:00Z</dcterms:created>
  <dc:creator>SUPER</dc:creator>
  <cp:lastModifiedBy>lin</cp:lastModifiedBy>
  <cp:lastPrinted>2024-08-18T14:52:00Z</cp:lastPrinted>
  <dcterms:modified xsi:type="dcterms:W3CDTF">2024-11-06T14:23:01Z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BBB4B321DBCD4DB2AA7316C9A3E404FC</vt:lpwstr>
  </property>
</Properties>
</file>