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ageBreakBefore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光明区</w:t>
      </w:r>
      <w:r>
        <w:rPr>
          <w:rFonts w:hint="eastAsia" w:ascii="方正小标宋简体" w:hAnsi="方正小标宋简体" w:eastAsia="方正小标宋简体" w:cs="方正小标宋简体"/>
          <w:bCs/>
          <w:color w:val="auto"/>
          <w:sz w:val="44"/>
          <w:szCs w:val="44"/>
          <w:highlight w:val="none"/>
          <w:lang w:val="en-US" w:eastAsia="zh-CN"/>
        </w:rPr>
        <w:t>2023年</w:t>
      </w:r>
      <w:r>
        <w:rPr>
          <w:rFonts w:hint="eastAsia" w:ascii="Times New Roman" w:hAnsi="Times New Roman" w:eastAsia="方正小标宋简体" w:cs="Times New Roman"/>
          <w:bCs/>
          <w:color w:val="auto"/>
          <w:sz w:val="44"/>
          <w:szCs w:val="44"/>
          <w:highlight w:val="none"/>
          <w:lang w:val="en-US" w:eastAsia="zh-CN"/>
        </w:rPr>
        <w:t>度</w:t>
      </w:r>
      <w:r>
        <w:rPr>
          <w:rFonts w:hint="default" w:ascii="Times New Roman" w:hAnsi="Times New Roman" w:eastAsia="方正小标宋简体" w:cs="Times New Roman"/>
          <w:bCs/>
          <w:color w:val="auto"/>
          <w:sz w:val="44"/>
          <w:szCs w:val="44"/>
          <w:highlight w:val="none"/>
        </w:rPr>
        <w:t>概念验证中心、中小试基地认定资助项目申报指南</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一、政策依据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深圳市光明区关于促进科技创新发展的若干措施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i w:val="0"/>
          <w:strike w:val="0"/>
          <w:color w:val="auto"/>
          <w:sz w:val="32"/>
          <w:u w:val="none"/>
          <w:lang w:val="en-US" w:eastAsia="zh-CN"/>
        </w:rPr>
        <w:t>（深光府规〔2024〕1号）</w:t>
      </w:r>
      <w:r>
        <w:rPr>
          <w:rFonts w:hint="eastAsia" w:ascii="仿宋_GB2312" w:hAnsi="仿宋_GB2312" w:eastAsia="仿宋_GB2312" w:cs="仿宋_GB2312"/>
          <w:snapToGrid w:val="0"/>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color w:val="auto"/>
          <w:sz w:val="32"/>
          <w:szCs w:val="22"/>
          <w:highlight w:val="none"/>
          <w:shd w:val="clear"/>
        </w:rPr>
      </w:pPr>
      <w:r>
        <w:rPr>
          <w:rFonts w:hint="eastAsia" w:ascii="仿宋_GB2312" w:hAnsi="仿宋_GB2312" w:eastAsia="仿宋_GB2312" w:cs="仿宋_GB2312"/>
          <w:b w:val="0"/>
          <w:bCs w:val="0"/>
          <w:color w:val="auto"/>
          <w:sz w:val="32"/>
          <w:szCs w:val="32"/>
          <w:highlight w:val="none"/>
          <w:lang w:eastAsia="zh-CN"/>
        </w:rPr>
        <w:t>（三）</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深圳市光明区促进科技创新发展扶持计划操作规程</w:t>
      </w:r>
      <w:r>
        <w:rPr>
          <w:rFonts w:hint="eastAsia" w:ascii="仿宋_GB2312" w:hAnsi="仿宋_GB2312" w:eastAsia="仿宋_GB2312" w:cs="仿宋_GB2312"/>
          <w:b w:val="0"/>
          <w:bCs w:val="0"/>
          <w:color w:val="auto"/>
          <w:sz w:val="32"/>
          <w:szCs w:val="32"/>
          <w:highlight w:val="none"/>
          <w:lang w:val="en-US" w:eastAsia="zh-CN"/>
        </w:rPr>
        <w:t>》（深光科创规〔2024〕2号）。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eastAsia="黑体" w:cs="Times New Roman"/>
          <w:color w:val="auto"/>
          <w:sz w:val="32"/>
          <w:szCs w:val="22"/>
          <w:highlight w:val="none"/>
          <w:shd w:val="clear"/>
          <w:lang w:eastAsia="zh-CN"/>
        </w:rPr>
      </w:pPr>
      <w:r>
        <w:rPr>
          <w:rFonts w:hint="default" w:ascii="Times New Roman" w:hAnsi="Times New Roman" w:eastAsia="黑体" w:cs="Times New Roman"/>
          <w:color w:val="auto"/>
          <w:sz w:val="32"/>
          <w:szCs w:val="22"/>
          <w:highlight w:val="none"/>
          <w:shd w:val="clear"/>
        </w:rPr>
        <w:t>二、</w:t>
      </w:r>
      <w:r>
        <w:rPr>
          <w:rFonts w:hint="eastAsia" w:eastAsia="黑体" w:cs="Times New Roman"/>
          <w:color w:val="auto"/>
          <w:sz w:val="32"/>
          <w:szCs w:val="32"/>
          <w:highlight w:val="none"/>
          <w:shd w:val="clear" w:color="auto" w:fill="FFFFFF"/>
          <w:lang w:eastAsia="zh-CN"/>
        </w:rPr>
        <w:t>支持标准、方式</w:t>
      </w:r>
      <w:r>
        <w:rPr>
          <w:rFonts w:hint="default" w:ascii="Times New Roman" w:hAnsi="Times New Roman" w:eastAsia="黑体" w:cs="Times New Roman"/>
          <w:color w:val="auto"/>
          <w:sz w:val="32"/>
          <w:szCs w:val="32"/>
          <w:highlight w:val="none"/>
          <w:shd w:val="clear" w:color="auto" w:fill="FFFFFF"/>
        </w:rPr>
        <w:t>及</w:t>
      </w:r>
      <w:r>
        <w:rPr>
          <w:rFonts w:hint="eastAsia" w:eastAsia="黑体" w:cs="Times New Roman"/>
          <w:color w:val="auto"/>
          <w:sz w:val="32"/>
          <w:szCs w:val="32"/>
          <w:highlight w:val="none"/>
          <w:shd w:val="clear" w:color="auto" w:fill="FFFFFF"/>
          <w:lang w:eastAsia="zh-CN"/>
        </w:rPr>
        <w:t>数量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pPr>
      <w:r>
        <w:rPr>
          <w:rFonts w:hint="eastAsia" w:ascii="楷体_GB2312" w:hAnsi="楷体_GB2312" w:eastAsia="楷体_GB2312" w:cs="楷体_GB2312"/>
          <w:i w:val="0"/>
          <w:strike w:val="0"/>
          <w:color w:val="auto"/>
          <w:sz w:val="32"/>
          <w:u w:val="none"/>
          <w:lang w:val="en-US" w:eastAsia="zh-CN"/>
        </w:rPr>
        <w:t>（一）支持标准：</w:t>
      </w:r>
      <w:r>
        <w:rPr>
          <w:rFonts w:hint="eastAsia" w:ascii="仿宋_GB2312" w:hAnsi="仿宋_GB2312" w:eastAsia="仿宋_GB2312" w:cs="仿宋_GB2312"/>
          <w:i w:val="0"/>
          <w:strike w:val="0"/>
          <w:snapToGrid w:val="0"/>
          <w:color w:val="auto"/>
          <w:kern w:val="0"/>
          <w:sz w:val="32"/>
          <w:szCs w:val="32"/>
          <w:highlight w:val="none"/>
          <w:u w:val="none"/>
          <w:shd w:val="clear" w:color="auto" w:fill="FFFFFF"/>
          <w:lang w:val="en-US" w:eastAsia="zh-CN" w:bidi="ar"/>
        </w:rPr>
        <w:t>对经区级及以上主管部门认定通过的概念验证中心、中小试基地，分别给予一次性最高50万元、100万元资助。</w:t>
      </w:r>
    </w:p>
    <w:p>
      <w:pPr>
        <w:keepNext w:val="0"/>
        <w:keepLines w:val="0"/>
        <w:pageBreakBefore w:val="0"/>
        <w:widowControl w:val="0"/>
        <w:kinsoku/>
        <w:wordWrap/>
        <w:overflowPunct/>
        <w:topLinePunct w:val="0"/>
        <w:autoSpaceDE/>
        <w:autoSpaceDN/>
        <w:bidi w:val="0"/>
        <w:adjustRightInd/>
        <w:snapToGrid w:val="0"/>
        <w:spacing w:before="0" w:line="560" w:lineRule="exact"/>
        <w:ind w:left="0" w:leftChars="0" w:right="0" w:firstLineChars="200"/>
        <w:jc w:val="both"/>
        <w:textAlignment w:val="auto"/>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pPr>
      <w:r>
        <w:rPr>
          <w:rFonts w:hint="eastAsia" w:ascii="楷体_GB2312" w:hAnsi="楷体_GB2312" w:eastAsia="楷体_GB2312" w:cs="楷体_GB2312"/>
          <w:i w:val="0"/>
          <w:strike w:val="0"/>
          <w:color w:val="auto"/>
          <w:sz w:val="32"/>
          <w:u w:val="none"/>
          <w:lang w:val="en-US" w:eastAsia="zh-CN"/>
        </w:rPr>
        <w:t>（二）支持方式及数量：</w:t>
      </w:r>
      <w:r>
        <w:rPr>
          <w:rFonts w:hint="eastAsia" w:ascii="仿宋_GB2312" w:hAnsi="仿宋_GB2312" w:eastAsia="仿宋_GB2312" w:cs="仿宋_GB2312"/>
          <w:snapToGrid w:val="0"/>
          <w:color w:val="auto"/>
          <w:kern w:val="0"/>
          <w:sz w:val="32"/>
          <w:szCs w:val="32"/>
          <w:highlight w:val="none"/>
          <w:u w:val="none"/>
          <w:shd w:val="clear" w:color="auto" w:fill="FFFFFF"/>
          <w:lang w:eastAsia="zh-CN" w:bidi="ar"/>
        </w:rPr>
        <w:t>事后资助。</w:t>
      </w:r>
      <w:r>
        <w:rPr>
          <w:rFonts w:hint="eastAsia" w:ascii="仿宋_GB2312" w:hAnsi="仿宋_GB2312" w:eastAsia="仿宋_GB2312" w:cs="仿宋_GB2312"/>
          <w:i w:val="0"/>
          <w:strike w:val="0"/>
          <w:color w:val="auto"/>
          <w:sz w:val="32"/>
          <w:highlight w:val="none"/>
          <w:u w:val="none"/>
          <w:lang w:val="en-US" w:eastAsia="zh-CN"/>
        </w:rPr>
        <w:t>属核准类项目。</w:t>
      </w:r>
      <w:r>
        <w:rPr>
          <w:rFonts w:hint="eastAsia" w:ascii="仿宋_GB2312" w:hAnsi="仿宋_GB2312" w:eastAsia="仿宋_GB2312" w:cs="仿宋_GB2312"/>
          <w:snapToGrid w:val="0"/>
          <w:color w:val="auto"/>
          <w:kern w:val="0"/>
          <w:sz w:val="32"/>
          <w:szCs w:val="32"/>
          <w:highlight w:val="none"/>
          <w:u w:val="none"/>
          <w:shd w:val="clear" w:color="auto" w:fill="FFFFFF"/>
          <w:lang w:val="en-US" w:eastAsia="zh-CN" w:bidi="ar"/>
        </w:rPr>
        <w:t>资助金额受年度财政预算安排总量控制。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22"/>
          <w:highlight w:val="none"/>
          <w:shd w:val="clear"/>
        </w:rPr>
      </w:pPr>
      <w:r>
        <w:rPr>
          <w:rFonts w:hint="eastAsia" w:eastAsia="黑体" w:cs="Times New Roman"/>
          <w:color w:val="auto"/>
          <w:sz w:val="32"/>
          <w:szCs w:val="22"/>
          <w:highlight w:val="none"/>
          <w:shd w:val="clear"/>
          <w:lang w:eastAsia="zh-CN"/>
        </w:rPr>
        <w:t>三、</w:t>
      </w:r>
      <w:r>
        <w:rPr>
          <w:rFonts w:hint="default" w:ascii="Times New Roman" w:hAnsi="Times New Roman" w:eastAsia="黑体" w:cs="Times New Roman"/>
          <w:color w:val="auto"/>
          <w:sz w:val="32"/>
          <w:szCs w:val="22"/>
          <w:highlight w:val="none"/>
          <w:shd w:val="clear"/>
        </w:rPr>
        <w:t>申报条件</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（一）</w:t>
      </w:r>
      <w:r>
        <w:rPr>
          <w:rFonts w:hint="default" w:eastAsia="仿宋_GB2312"/>
          <w:color w:val="auto"/>
          <w:sz w:val="32"/>
          <w:szCs w:val="32"/>
          <w:highlight w:val="none"/>
        </w:rPr>
        <w:t>申报单位具有独立法人资格，</w:t>
      </w:r>
      <w:r>
        <w:rPr>
          <w:rFonts w:hint="default" w:ascii="Times New Roman" w:hAnsi="Times New Roman" w:eastAsia="仿宋_GB2312" w:cs="Times New Roman"/>
          <w:color w:val="auto"/>
          <w:sz w:val="32"/>
          <w:szCs w:val="32"/>
          <w:highlight w:val="none"/>
        </w:rPr>
        <w:t>依法依规办理市场主体登记注册手续和税务登记手续</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在光明区从事经营活动。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（二）</w:t>
      </w:r>
      <w:r>
        <w:rPr>
          <w:rFonts w:hint="default" w:ascii="Times New Roman" w:hAnsi="Times New Roman" w:eastAsia="仿宋_GB2312" w:cs="Times New Roman"/>
          <w:color w:val="auto"/>
          <w:sz w:val="32"/>
          <w:szCs w:val="32"/>
          <w:highlight w:val="none"/>
        </w:rPr>
        <w:t>有规范健全的财务管理制度，依法履行统计数据申报义务。</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（三）守法守信规范经营，不存在违反失信惩戒措施基础清单相关规定的情形。</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（四）</w:t>
      </w:r>
      <w:r>
        <w:rPr>
          <w:rFonts w:hint="eastAsia" w:ascii="仿宋_GB2312" w:hAnsi="仿宋_GB2312" w:eastAsia="仿宋_GB2312" w:cs="仿宋_GB2312"/>
          <w:i w:val="0"/>
          <w:strike w:val="0"/>
          <w:color w:val="auto"/>
          <w:sz w:val="32"/>
          <w:highlight w:val="none"/>
          <w:u w:val="none"/>
          <w:lang w:eastAsia="zh-CN"/>
        </w:rPr>
        <w:t>申报的项目应符合国家、省、市、区产业政策和经济社会发展要求</w:t>
      </w:r>
      <w:r>
        <w:rPr>
          <w:rFonts w:hint="default" w:ascii="Times New Roman" w:hAnsi="Times New Roman" w:eastAsia="仿宋_GB2312" w:cs="Times New Roman"/>
          <w:color w:val="auto"/>
          <w:sz w:val="32"/>
          <w:szCs w:val="32"/>
          <w:highlight w:val="none"/>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（5）概念验证中心、中小试基地在2023年1月1日至2023年12月31日期间经区级及以上主管部门认定通过，以认定或立项文件时间落款为准。</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color w:val="auto"/>
        </w:rPr>
      </w:pPr>
      <w:r>
        <w:rPr>
          <w:rFonts w:hint="default" w:ascii="Times New Roman" w:hAnsi="Times New Roman" w:eastAsia="黑体" w:cs="Times New Roman"/>
          <w:color w:val="auto"/>
          <w:sz w:val="32"/>
          <w:szCs w:val="22"/>
          <w:highlight w:val="none"/>
          <w:lang w:bidi="ar"/>
        </w:rPr>
        <w:t>四、申报材料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eastAsia="zh-CN"/>
        </w:rPr>
        <w:t>（一）</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营业执照</w:t>
      </w:r>
      <w:r>
        <w:rPr>
          <w:rFonts w:hint="eastAsia" w:ascii="Times New Roman" w:hAnsi="Times New Roman" w:eastAsia="仿宋_GB2312" w:cs="Times New Roman"/>
          <w:color w:val="auto"/>
          <w:sz w:val="32"/>
          <w:szCs w:val="32"/>
          <w:highlight w:val="none"/>
        </w:rPr>
        <w:t>或事业单位法人证书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keepNext w:val="0"/>
        <w:keepLines w:val="0"/>
        <w:pageBreakBefore w:val="0"/>
        <w:kinsoku/>
        <w:wordWrap/>
        <w:overflowPunct/>
        <w:topLinePunct w:val="0"/>
        <w:bidi w:val="0"/>
        <w:snapToGrid w:val="0"/>
        <w:spacing w:line="560" w:lineRule="exact"/>
        <w:ind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（三）上年度财务审计报告或事业单位财务决算报表复印件（注册未满一年的可提供验资报告）。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概念验证中心、中小试基地认定或立项文件、资助到账凭证等相关证明材料。</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（七）其他必要的申请材料。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1项材料</w:t>
      </w:r>
      <w:r>
        <w:rPr>
          <w:rFonts w:hint="eastAsia" w:ascii="仿宋_GB2312" w:hAnsi="仿宋_GB2312" w:eastAsia="仿宋_GB2312" w:cs="仿宋_GB2312"/>
          <w:color w:val="auto"/>
          <w:sz w:val="32"/>
          <w:szCs w:val="32"/>
          <w:highlight w:val="none"/>
        </w:rPr>
        <w:t>登录深圳市光明区企业服务门户</w:t>
      </w:r>
      <w:r>
        <w:rPr>
          <w:rFonts w:hint="eastAsia" w:ascii="仿宋_GB2312" w:hAnsi="仿宋_GB2312" w:eastAsia="仿宋_GB2312" w:cs="仿宋_GB2312"/>
          <w:snapToGrid w:val="0"/>
          <w:color w:val="auto"/>
          <w:sz w:val="32"/>
          <w:szCs w:val="32"/>
          <w:highlight w:val="none"/>
        </w:rPr>
        <w:t>（https://qyfwmh.szgm.gov.cn/#/home）</w:t>
      </w:r>
      <w:r>
        <w:rPr>
          <w:rFonts w:hint="eastAsia" w:ascii="仿宋_GB2312" w:hAnsi="仿宋_GB2312" w:eastAsia="仿宋_GB2312" w:cs="仿宋_GB2312"/>
          <w:color w:val="auto"/>
          <w:sz w:val="32"/>
          <w:szCs w:val="32"/>
          <w:highlight w:val="none"/>
        </w:rPr>
        <w:t>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rPr>
        <w:t>2</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子材料审核通过后，请登录光明区企业服务门户，导出带水印编号的所有材料，加盖申报单位印章，多页的还需加盖骑缝印章，</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式</w:t>
      </w:r>
      <w:r>
        <w:rPr>
          <w:rFonts w:hint="eastAsia" w:ascii="仿宋_GB2312" w:hAnsi="仿宋_GB2312" w:eastAsia="仿宋_GB2312" w:cs="仿宋_GB2312"/>
          <w:color w:val="auto"/>
          <w:sz w:val="32"/>
          <w:szCs w:val="32"/>
          <w:lang w:val="en-US" w:eastAsia="zh-CN"/>
        </w:rPr>
        <w:t>壹</w:t>
      </w:r>
      <w:r>
        <w:rPr>
          <w:rFonts w:hint="eastAsia" w:ascii="仿宋_GB2312" w:hAnsi="仿宋_GB2312" w:eastAsia="仿宋_GB2312" w:cs="仿宋_GB2312"/>
          <w:color w:val="auto"/>
          <w:sz w:val="32"/>
          <w:szCs w:val="32"/>
        </w:rPr>
        <w:t>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，装订成册（胶装）。</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lang w:eastAsia="zh-CN"/>
        </w:rPr>
      </w:pPr>
      <w:r>
        <w:rPr>
          <w:rFonts w:hint="default" w:ascii="Times New Roman" w:hAnsi="Times New Roman" w:eastAsia="黑体" w:cs="Times New Roman"/>
          <w:color w:val="auto"/>
          <w:sz w:val="32"/>
          <w:szCs w:val="22"/>
          <w:highlight w:val="none"/>
        </w:rPr>
        <w:t>五、申报时间</w:t>
      </w:r>
      <w:r>
        <w:rPr>
          <w:rFonts w:hint="default" w:ascii="Times New Roman" w:hAnsi="Times New Roman" w:eastAsia="黑体" w:cs="Times New Roman"/>
          <w:color w:val="auto"/>
          <w:sz w:val="32"/>
          <w:szCs w:val="22"/>
          <w:highlight w:val="none"/>
          <w:lang w:eastAsia="zh-CN"/>
        </w:rPr>
        <w:t>和地点</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（一）网络申报时间</w:t>
      </w:r>
      <w:r>
        <w:rPr>
          <w:rFonts w:hint="default" w:ascii="Times New Roman" w:hAnsi="Times New Roman" w:eastAsia="楷体_GB2312" w:cs="Times New Roman"/>
          <w:bCs/>
          <w:color w:val="auto"/>
          <w:sz w:val="32"/>
          <w:szCs w:val="32"/>
          <w:highlight w:val="none"/>
        </w:rPr>
        <w:t>：</w:t>
      </w:r>
      <w:r>
        <w:rPr>
          <w:rFonts w:hint="eastAsia" w:ascii="仿宋_GB2312" w:hAnsi="仿宋_GB2312" w:eastAsia="仿宋_GB2312" w:cs="仿宋_GB2312"/>
          <w:bCs w:val="0"/>
          <w:color w:val="auto"/>
          <w:sz w:val="32"/>
          <w:szCs w:val="32"/>
          <w:highlight w:val="none"/>
        </w:rPr>
        <w:t>2024年</w:t>
      </w:r>
      <w:r>
        <w:rPr>
          <w:rFonts w:hint="eastAsia" w:ascii="仿宋_GB2312" w:hAnsi="仿宋_GB2312" w:eastAsia="仿宋_GB2312" w:cs="仿宋_GB2312"/>
          <w:bCs w:val="0"/>
          <w:color w:val="auto"/>
          <w:sz w:val="32"/>
          <w:szCs w:val="32"/>
          <w:highlight w:val="none"/>
          <w:lang w:val="en-US" w:eastAsia="zh-CN"/>
        </w:rPr>
        <w:t>11</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25</w:t>
      </w:r>
      <w:r>
        <w:rPr>
          <w:rFonts w:hint="eastAsia" w:ascii="仿宋_GB2312" w:hAnsi="仿宋_GB2312" w:eastAsia="仿宋_GB2312" w:cs="仿宋_GB2312"/>
          <w:bCs w:val="0"/>
          <w:color w:val="auto"/>
          <w:sz w:val="32"/>
          <w:szCs w:val="32"/>
          <w:highlight w:val="none"/>
        </w:rPr>
        <w:t>日至2024年</w:t>
      </w:r>
      <w:r>
        <w:rPr>
          <w:rFonts w:hint="eastAsia" w:ascii="仿宋_GB2312" w:hAnsi="仿宋_GB2312" w:eastAsia="仿宋_GB2312" w:cs="仿宋_GB2312"/>
          <w:bCs w:val="0"/>
          <w:color w:val="auto"/>
          <w:sz w:val="32"/>
          <w:szCs w:val="32"/>
          <w:highlight w:val="none"/>
          <w:lang w:val="en-US" w:eastAsia="zh-CN"/>
        </w:rPr>
        <w:t>11</w:t>
      </w:r>
      <w:r>
        <w:rPr>
          <w:rFonts w:hint="eastAsia" w:ascii="仿宋_GB2312" w:hAnsi="仿宋_GB2312" w:eastAsia="仿宋_GB2312" w:cs="仿宋_GB2312"/>
          <w:bCs w:val="0"/>
          <w:color w:val="auto"/>
          <w:sz w:val="32"/>
          <w:szCs w:val="32"/>
          <w:highlight w:val="none"/>
        </w:rPr>
        <w:t>月</w:t>
      </w:r>
      <w:r>
        <w:rPr>
          <w:rFonts w:hint="eastAsia" w:ascii="仿宋_GB2312" w:hAnsi="仿宋_GB2312" w:eastAsia="仿宋_GB2312" w:cs="仿宋_GB2312"/>
          <w:bCs w:val="0"/>
          <w:color w:val="auto"/>
          <w:sz w:val="32"/>
          <w:szCs w:val="32"/>
          <w:highlight w:val="none"/>
          <w:lang w:val="en-US" w:eastAsia="zh-CN"/>
        </w:rPr>
        <w:t>29</w:t>
      </w:r>
      <w:r>
        <w:rPr>
          <w:rFonts w:hint="eastAsia" w:ascii="仿宋_GB2312" w:hAnsi="仿宋_GB2312" w:eastAsia="仿宋_GB2312" w:cs="仿宋_GB2312"/>
          <w:bCs w:val="0"/>
          <w:color w:val="auto"/>
          <w:sz w:val="32"/>
          <w:szCs w:val="32"/>
          <w:highlight w:val="none"/>
        </w:rPr>
        <w:t>日</w:t>
      </w:r>
      <w:r>
        <w:rPr>
          <w:rFonts w:hint="eastAsia" w:ascii="仿宋_GB2312" w:hAnsi="仿宋_GB2312" w:eastAsia="仿宋_GB2312" w:cs="仿宋_GB2312"/>
          <w:b w:val="0"/>
          <w:bCs w:val="0"/>
          <w:color w:val="auto"/>
          <w:sz w:val="32"/>
          <w:szCs w:val="32"/>
          <w:highlight w:val="none"/>
          <w:lang w:eastAsia="zh-CN"/>
        </w:rPr>
        <w:t>。</w:t>
      </w:r>
    </w:p>
    <w:p>
      <w:pPr>
        <w:numPr>
          <w:ilvl w:val="-1"/>
          <w:numId w:val="0"/>
        </w:num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eastAsia="楷体_GB2312" w:cs="Times New Roman"/>
          <w:b w:val="0"/>
          <w:bCs/>
          <w:color w:val="auto"/>
          <w:sz w:val="32"/>
          <w:szCs w:val="32"/>
          <w:highlight w:val="none"/>
          <w:lang w:eastAsia="zh-CN"/>
        </w:rPr>
        <w:t>（二）</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b w:val="0"/>
          <w:bCs/>
          <w:color w:val="auto"/>
          <w:sz w:val="32"/>
          <w:szCs w:val="32"/>
          <w:highlight w:val="none"/>
          <w:lang w:eastAsia="zh-CN"/>
        </w:rPr>
        <w:t>2</w:t>
      </w:r>
      <w:r>
        <w:rPr>
          <w:rFonts w:hint="eastAsia" w:ascii="仿宋_GB2312" w:hAnsi="仿宋_GB2312" w:eastAsia="仿宋_GB2312" w:cs="仿宋_GB2312"/>
          <w:b w:val="0"/>
          <w:bCs w:val="0"/>
          <w:color w:val="auto"/>
          <w:sz w:val="32"/>
          <w:szCs w:val="32"/>
          <w:highlight w:val="none"/>
          <w:lang w:eastAsia="zh-CN"/>
        </w:rPr>
        <w:t>024年</w:t>
      </w:r>
      <w:r>
        <w:rPr>
          <w:rFonts w:hint="eastAsia" w:ascii="仿宋_GB2312" w:hAnsi="仿宋_GB2312" w:eastAsia="仿宋_GB2312" w:cs="仿宋_GB2312"/>
          <w:b w:val="0"/>
          <w:bCs w:val="0"/>
          <w:color w:val="auto"/>
          <w:sz w:val="32"/>
          <w:szCs w:val="32"/>
          <w:highlight w:val="none"/>
          <w:lang w:val="en-US" w:eastAsia="zh-CN"/>
        </w:rPr>
        <w:t>11</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lang w:eastAsia="zh-CN"/>
        </w:rPr>
        <w:t>日至2024年</w:t>
      </w:r>
      <w:r>
        <w:rPr>
          <w:rFonts w:hint="eastAsia" w:ascii="仿宋_GB2312" w:hAnsi="仿宋_GB2312" w:eastAsia="仿宋_GB2312" w:cs="仿宋_GB2312"/>
          <w:b w:val="0"/>
          <w:bCs w:val="0"/>
          <w:color w:val="auto"/>
          <w:sz w:val="32"/>
          <w:szCs w:val="32"/>
          <w:highlight w:val="none"/>
          <w:lang w:val="en-US" w:eastAsia="zh-CN"/>
        </w:rPr>
        <w:t>11</w:t>
      </w:r>
      <w:r>
        <w:rPr>
          <w:rFonts w:hint="eastAsia" w:ascii="仿宋_GB2312" w:hAnsi="仿宋_GB2312" w:eastAsia="仿宋_GB2312" w:cs="仿宋_GB2312"/>
          <w:b w:val="0"/>
          <w:bCs w:val="0"/>
          <w:color w:val="auto"/>
          <w:sz w:val="32"/>
          <w:szCs w:val="32"/>
          <w:highlight w:val="none"/>
          <w:lang w:eastAsia="zh-CN"/>
        </w:rPr>
        <w:t>月</w:t>
      </w:r>
      <w:r>
        <w:rPr>
          <w:rFonts w:hint="eastAsia" w:ascii="仿宋_GB2312" w:hAnsi="仿宋_GB2312" w:eastAsia="仿宋_GB2312" w:cs="仿宋_GB2312"/>
          <w:b w:val="0"/>
          <w:bCs w:val="0"/>
          <w:color w:val="auto"/>
          <w:sz w:val="32"/>
          <w:szCs w:val="32"/>
          <w:highlight w:val="none"/>
          <w:lang w:val="en-US" w:eastAsia="zh-CN"/>
        </w:rPr>
        <w:t>29</w:t>
      </w:r>
      <w:r>
        <w:rPr>
          <w:rFonts w:hint="eastAsia" w:ascii="仿宋_GB2312" w:hAnsi="仿宋_GB2312" w:eastAsia="仿宋_GB2312" w:cs="仿宋_GB2312"/>
          <w:b w:val="0"/>
          <w:bCs w:val="0"/>
          <w:color w:val="auto"/>
          <w:sz w:val="32"/>
          <w:szCs w:val="32"/>
          <w:highlight w:val="none"/>
          <w:lang w:eastAsia="zh-CN"/>
        </w:rPr>
        <w:t>日。</w:t>
      </w:r>
      <w:bookmarkStart w:id="0" w:name="_GoBack"/>
      <w:bookmarkEnd w:id="0"/>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sz w:val="32"/>
          <w:szCs w:val="32"/>
          <w:highlight w:val="none"/>
        </w:rPr>
        <w:t>受理地点：深圳市光明区</w:t>
      </w:r>
      <w:r>
        <w:rPr>
          <w:rFonts w:hint="default" w:ascii="Times New Roman" w:hAnsi="Times New Roman" w:eastAsia="仿宋_GB2312" w:cs="Times New Roman"/>
          <w:color w:val="auto"/>
          <w:sz w:val="32"/>
          <w:szCs w:val="32"/>
          <w:highlight w:val="none"/>
          <w:lang w:val="en-US" w:eastAsia="zh-CN"/>
        </w:rPr>
        <w:t>光明街道牛山路公共服务平台</w:t>
      </w:r>
      <w:r>
        <w:rPr>
          <w:rFonts w:hint="eastAsia" w:ascii="仿宋_GB2312" w:hAnsi="仿宋_GB2312" w:eastAsia="仿宋_GB2312" w:cs="仿宋_GB2312"/>
          <w:color w:val="auto"/>
          <w:sz w:val="32"/>
          <w:szCs w:val="32"/>
          <w:highlight w:val="none"/>
          <w:lang w:val="en-US" w:eastAsia="zh-CN"/>
        </w:rPr>
        <w:t>5楼</w:t>
      </w:r>
      <w:r>
        <w:rPr>
          <w:rFonts w:hint="eastAsia" w:ascii="仿宋_GB2312" w:hAnsi="仿宋_GB2312" w:eastAsia="仿宋_GB2312" w:cs="仿宋_GB2312"/>
          <w:color w:val="auto"/>
          <w:sz w:val="32"/>
          <w:szCs w:val="32"/>
          <w:highlight w:val="none"/>
        </w:rPr>
        <w:t>光明区科技创新局</w:t>
      </w:r>
      <w:r>
        <w:rPr>
          <w:rFonts w:hint="eastAsia" w:ascii="仿宋_GB2312" w:hAnsi="仿宋_GB2312" w:eastAsia="仿宋_GB2312" w:cs="仿宋_GB2312"/>
          <w:color w:val="auto"/>
          <w:sz w:val="32"/>
          <w:szCs w:val="32"/>
          <w:highlight w:val="none"/>
          <w:lang w:val="en-US" w:eastAsia="zh-CN"/>
        </w:rPr>
        <w:t>创新促进科558室</w:t>
      </w:r>
      <w:r>
        <w:rPr>
          <w:rFonts w:hint="eastAsia" w:ascii="仿宋_GB2312" w:hAnsi="仿宋_GB2312" w:eastAsia="仿宋_GB2312" w:cs="仿宋_GB2312"/>
          <w:color w:val="auto"/>
          <w:sz w:val="32"/>
          <w:szCs w:val="32"/>
          <w:highlight w:val="none"/>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业务咨询</w:t>
      </w:r>
      <w:r>
        <w:rPr>
          <w:rFonts w:hint="eastAsia" w:ascii="仿宋_GB2312" w:hAnsi="仿宋_GB2312" w:eastAsia="仿宋_GB2312" w:cs="仿宋_GB2312"/>
          <w:color w:val="auto"/>
          <w:sz w:val="32"/>
          <w:szCs w:val="32"/>
          <w:highlight w:val="none"/>
          <w:lang w:eastAsia="zh-CN"/>
        </w:rPr>
        <w:t>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0755-88210473</w:t>
      </w:r>
      <w:r>
        <w:rPr>
          <w:rFonts w:hint="eastAsia" w:ascii="仿宋_GB2312" w:hAnsi="仿宋_GB2312" w:eastAsia="仿宋_GB2312" w:cs="仿宋_GB2312"/>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22"/>
          <w:highlight w:val="none"/>
        </w:rPr>
      </w:pPr>
      <w:r>
        <w:rPr>
          <w:rFonts w:hint="default" w:ascii="Times New Roman" w:hAnsi="Times New Roman" w:eastAsia="黑体" w:cs="Times New Roman"/>
          <w:color w:val="auto"/>
          <w:sz w:val="32"/>
          <w:szCs w:val="22"/>
          <w:highlight w:val="none"/>
        </w:rPr>
        <w:t>六、受理机关</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深圳市光明区科技创新局。</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七</w:t>
      </w:r>
      <w:r>
        <w:rPr>
          <w:rFonts w:hint="eastAsia" w:ascii="CESI黑体-GB2312" w:hAnsi="CESI黑体-GB2312" w:eastAsia="CESI黑体-GB2312" w:cs="CESI黑体-GB2312"/>
          <w:color w:val="auto"/>
          <w:sz w:val="32"/>
          <w:szCs w:val="32"/>
        </w:rPr>
        <w:t>、办理流程</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u w:val="none"/>
          <w:lang w:val="en"/>
        </w:rPr>
      </w:pPr>
      <w:r>
        <w:rPr>
          <w:rFonts w:hint="eastAsia" w:ascii="仿宋_GB2312" w:hAnsi="仿宋_GB2312" w:eastAsia="仿宋_GB2312" w:cs="仿宋_GB2312"/>
          <w:color w:val="000000"/>
          <w:sz w:val="32"/>
          <w:szCs w:val="32"/>
          <w:highlight w:val="none"/>
          <w:u w:val="none"/>
          <w:lang w:val="en"/>
        </w:rPr>
        <w:t>区科技</w:t>
      </w:r>
      <w:r>
        <w:rPr>
          <w:rFonts w:hint="eastAsia" w:ascii="仿宋_GB2312" w:hAnsi="仿宋_GB2312" w:eastAsia="仿宋_GB2312" w:cs="仿宋_GB2312"/>
          <w:color w:val="000000"/>
          <w:sz w:val="32"/>
          <w:szCs w:val="32"/>
          <w:highlight w:val="none"/>
          <w:u w:val="none"/>
          <w:lang w:val="en" w:eastAsia="zh-CN"/>
        </w:rPr>
        <w:t>创新局</w:t>
      </w:r>
      <w:r>
        <w:rPr>
          <w:rFonts w:hint="eastAsia" w:ascii="仿宋_GB2312" w:hAnsi="仿宋_GB2312" w:eastAsia="仿宋_GB2312" w:cs="仿宋_GB2312"/>
          <w:color w:val="000000"/>
          <w:sz w:val="32"/>
          <w:szCs w:val="32"/>
          <w:highlight w:val="none"/>
          <w:u w:val="none"/>
          <w:lang w:val="en"/>
        </w:rPr>
        <w:t>发布</w:t>
      </w:r>
      <w:r>
        <w:rPr>
          <w:rFonts w:hint="eastAsia" w:ascii="仿宋_GB2312" w:hAnsi="仿宋_GB2312" w:eastAsia="仿宋_GB2312" w:cs="仿宋_GB2312"/>
          <w:color w:val="000000"/>
          <w:sz w:val="32"/>
          <w:szCs w:val="32"/>
          <w:highlight w:val="none"/>
          <w:u w:val="none"/>
          <w:lang w:val="en" w:eastAsia="zh-CN"/>
        </w:rPr>
        <w:t>申报</w:t>
      </w:r>
      <w:r>
        <w:rPr>
          <w:rFonts w:hint="eastAsia" w:ascii="仿宋_GB2312" w:hAnsi="仿宋_GB2312" w:eastAsia="仿宋_GB2312" w:cs="仿宋_GB2312"/>
          <w:color w:val="000000"/>
          <w:sz w:val="32"/>
          <w:szCs w:val="32"/>
          <w:highlight w:val="none"/>
          <w:u w:val="none"/>
          <w:lang w:val="en"/>
        </w:rPr>
        <w:t>指南—</w:t>
      </w:r>
      <w:r>
        <w:rPr>
          <w:rFonts w:hint="eastAsia" w:ascii="仿宋_GB2312" w:hAnsi="仿宋_GB2312" w:eastAsia="仿宋_GB2312" w:cs="仿宋_GB2312"/>
          <w:sz w:val="32"/>
          <w:szCs w:val="32"/>
          <w:highlight w:val="none"/>
          <w:u w:val="none"/>
          <w:lang w:val="en-US" w:eastAsia="zh-CN"/>
        </w:rPr>
        <w:t>申报单位向区科技创新局提交申报材料（电子版及纸质版）</w:t>
      </w:r>
      <w:r>
        <w:rPr>
          <w:rFonts w:hint="eastAsia" w:ascii="仿宋_GB2312" w:hAnsi="仿宋_GB2312" w:eastAsia="仿宋_GB2312" w:cs="仿宋_GB2312"/>
          <w:color w:val="000000"/>
          <w:sz w:val="32"/>
          <w:szCs w:val="32"/>
          <w:highlight w:val="none"/>
          <w:u w:val="none"/>
          <w:lang w:val="en"/>
        </w:rPr>
        <w:t>—</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征求相关部门意见</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区科技创新局编制拟资助项目并根据资助金额提请分级审定——</w:t>
      </w:r>
      <w:r>
        <w:rPr>
          <w:rFonts w:hint="eastAsia" w:ascii="仿宋_GB2312" w:hAnsi="仿宋_GB2312" w:eastAsia="仿宋_GB2312" w:cs="仿宋_GB2312"/>
          <w:color w:val="000000"/>
          <w:sz w:val="32"/>
          <w:szCs w:val="32"/>
          <w:highlight w:val="none"/>
          <w:u w:val="none"/>
          <w:lang w:val="en"/>
        </w:rPr>
        <w:t>社会公示—</w:t>
      </w:r>
      <w:r>
        <w:rPr>
          <w:rFonts w:hint="eastAsia" w:ascii="仿宋_GB2312" w:hAnsi="仿宋_GB2312" w:eastAsia="仿宋_GB2312" w:cs="仿宋_GB2312"/>
          <w:color w:val="000000"/>
          <w:sz w:val="32"/>
          <w:szCs w:val="32"/>
          <w:highlight w:val="none"/>
          <w:u w:val="none"/>
          <w:lang w:val="en" w:eastAsia="zh-CN"/>
        </w:rPr>
        <w:t>下达项目资金计划—资金拨付</w:t>
      </w:r>
      <w:r>
        <w:rPr>
          <w:rFonts w:hint="eastAsia" w:ascii="仿宋_GB2312" w:hAnsi="仿宋_GB2312" w:eastAsia="仿宋_GB2312" w:cs="仿宋_GB2312"/>
          <w:color w:val="000000"/>
          <w:sz w:val="32"/>
          <w:szCs w:val="32"/>
          <w:highlight w:val="none"/>
          <w:u w:val="none"/>
          <w:lang w:val="en"/>
        </w:rPr>
        <w:t>。</w:t>
      </w:r>
    </w:p>
    <w:p>
      <w:pPr>
        <w:keepNext w:val="0"/>
        <w:keepLines w:val="0"/>
        <w:pageBreakBefore w:val="0"/>
        <w:widowControl/>
        <w:numPr>
          <w:ilvl w:val="0"/>
          <w:numId w:val="0"/>
        </w:numPr>
        <w:kinsoku/>
        <w:wordWrap/>
        <w:overflowPunct/>
        <w:topLinePunct w:val="0"/>
        <w:bidi w:val="0"/>
        <w:spacing w:line="560" w:lineRule="exact"/>
        <w:ind w:firstLine="640" w:firstLineChars="200"/>
        <w:jc w:val="both"/>
        <w:textAlignment w:val="auto"/>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z w:val="32"/>
          <w:szCs w:val="32"/>
          <w:lang w:eastAsia="zh-CN"/>
        </w:rPr>
        <w:t>八</w:t>
      </w:r>
      <w:r>
        <w:rPr>
          <w:rFonts w:hint="eastAsia" w:ascii="CESI黑体-GB2312" w:hAnsi="CESI黑体-GB2312" w:eastAsia="CESI黑体-GB2312" w:cs="CESI黑体-GB2312"/>
          <w:color w:val="auto"/>
          <w:sz w:val="32"/>
          <w:szCs w:val="32"/>
        </w:rPr>
        <w:t>、注意事项</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（一）</w:t>
      </w:r>
      <w:r>
        <w:rPr>
          <w:rFonts w:hint="default" w:ascii="Times New Roman" w:hAnsi="Times New Roman" w:eastAsia="仿宋_GB2312" w:cs="Times New Roman"/>
          <w:color w:val="auto"/>
          <w:sz w:val="32"/>
          <w:szCs w:val="32"/>
          <w:highlight w:val="none"/>
        </w:rPr>
        <w:t>申报单位对申报材料的合法性、真实性、准确性和完整性负责。</w:t>
      </w:r>
      <w:r>
        <w:rPr>
          <w:rFonts w:hint="eastAsia" w:eastAsia="仿宋_GB2312" w:cs="Times New Roman"/>
          <w:color w:val="auto"/>
          <w:sz w:val="32"/>
          <w:szCs w:val="32"/>
          <w:highlight w:val="none"/>
          <w:lang w:eastAsia="zh-CN"/>
        </w:rPr>
        <w:t>对</w:t>
      </w:r>
      <w:r>
        <w:rPr>
          <w:rFonts w:hint="default" w:ascii="Times New Roman" w:hAnsi="Times New Roman" w:eastAsia="仿宋_GB2312" w:cs="Times New Roman"/>
          <w:color w:val="auto"/>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auto"/>
          <w:sz w:val="32"/>
          <w:szCs w:val="32"/>
          <w:highlight w:val="none"/>
          <w:lang w:val="en" w:eastAsia="zh-CN"/>
        </w:rPr>
        <w:t>。</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（二）</w:t>
      </w:r>
      <w:r>
        <w:rPr>
          <w:rFonts w:hint="default" w:ascii="Times New Roman" w:hAnsi="Times New Roman" w:eastAsia="仿宋_GB2312" w:cs="Times New Roman"/>
          <w:color w:val="auto"/>
          <w:sz w:val="32"/>
          <w:szCs w:val="32"/>
          <w:highlight w:val="none"/>
        </w:rPr>
        <w:t>光明区科技创新局从未委托任何机构或个人代理本项目的资金申报事宜，请项目单位自主申报项目。光明区科技创新局将严格按照有关标准和程序受理申报，不收取任何费用。如有任何机构或个人假借我局工作人员名义向企业收取费用的，请知情者向光明区科技创新局举报</w:t>
      </w:r>
      <w:r>
        <w:rPr>
          <w:rFonts w:hint="eastAsia" w:ascii="Times New Roman" w:hAnsi="Times New Roman" w:eastAsia="仿宋_GB2312" w:cs="Times New Roman"/>
          <w:color w:val="auto"/>
          <w:sz w:val="32"/>
          <w:szCs w:val="32"/>
          <w:highlight w:val="none"/>
          <w:lang w:eastAsia="zh-CN"/>
        </w:rPr>
        <w:t>。</w:t>
      </w:r>
    </w:p>
    <w:p>
      <w:pPr>
        <w:numPr>
          <w:ilvl w:val="0"/>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 w:eastAsia="zh-CN"/>
        </w:rPr>
        <w:t>（四）</w:t>
      </w:r>
      <w:r>
        <w:rPr>
          <w:rFonts w:hint="default" w:ascii="Times New Roman" w:hAnsi="Times New Roman" w:eastAsia="仿宋_GB2312" w:cs="Times New Roman"/>
          <w:color w:val="auto"/>
          <w:sz w:val="32"/>
          <w:szCs w:val="32"/>
          <w:highlight w:val="none"/>
        </w:rPr>
        <w:t>项目申报单位需提交审计报告的，应当提供</w:t>
      </w:r>
      <w:r>
        <w:rPr>
          <w:rFonts w:hint="eastAsia" w:eastAsia="仿宋_GB2312" w:cs="Times New Roman"/>
          <w:color w:val="auto"/>
          <w:sz w:val="32"/>
          <w:szCs w:val="32"/>
          <w:highlight w:val="none"/>
          <w:lang w:eastAsia="zh-CN"/>
        </w:rPr>
        <w:t>已</w:t>
      </w:r>
      <w:r>
        <w:rPr>
          <w:rFonts w:hint="default" w:ascii="Times New Roman" w:hAnsi="Times New Roman" w:eastAsia="仿宋_GB2312" w:cs="Times New Roman"/>
          <w:color w:val="auto"/>
          <w:sz w:val="32"/>
          <w:szCs w:val="32"/>
          <w:highlight w:val="none"/>
          <w:lang w:val="en-US" w:eastAsia="zh-CN"/>
        </w:rPr>
        <w:t>通过注册会计师行业统一监管平台报备</w:t>
      </w:r>
      <w:r>
        <w:rPr>
          <w:rFonts w:hint="default" w:ascii="Times New Roman" w:hAnsi="Times New Roman" w:eastAsia="仿宋_GB2312" w:cs="Times New Roman"/>
          <w:color w:val="auto"/>
          <w:sz w:val="32"/>
          <w:szCs w:val="32"/>
          <w:highlight w:val="none"/>
        </w:rPr>
        <w:t>的审计报告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未备案或虚假备案的审计报告，我局不予采用。相关审计报告经核查认定属于虚假材料的，项目单位五年内不得申报区经济发展资金项目，区科技创新局将其列入诚信异常名录，并按照区政府失信联合惩戒有关规定予以处理。</w:t>
      </w:r>
    </w:p>
    <w:p>
      <w:pPr>
        <w:spacing w:line="560" w:lineRule="exact"/>
        <w:ind w:firstLine="640" w:firstLineChars="20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本项目与光明区其他同类别资助</w:t>
      </w:r>
      <w:r>
        <w:rPr>
          <w:rFonts w:hint="default" w:ascii="Times New Roman" w:hAnsi="Times New Roman" w:eastAsia="仿宋_GB2312" w:cs="Times New Roman"/>
          <w:color w:val="auto"/>
          <w:sz w:val="32"/>
          <w:szCs w:val="32"/>
          <w:highlight w:val="none"/>
          <w:lang w:val="en-US" w:eastAsia="zh-CN"/>
        </w:rPr>
        <w:t>项目</w:t>
      </w:r>
      <w:r>
        <w:rPr>
          <w:rFonts w:hint="default" w:ascii="Times New Roman" w:hAnsi="Times New Roman" w:eastAsia="仿宋_GB2312" w:cs="Times New Roman"/>
          <w:color w:val="auto"/>
          <w:sz w:val="32"/>
          <w:szCs w:val="32"/>
          <w:highlight w:val="none"/>
          <w:lang w:eastAsia="zh-CN"/>
        </w:rPr>
        <w:t>不重复</w:t>
      </w:r>
      <w:r>
        <w:rPr>
          <w:rFonts w:hint="eastAsia" w:eastAsia="仿宋_GB2312" w:cs="Times New Roman"/>
          <w:color w:val="auto"/>
          <w:sz w:val="32"/>
          <w:szCs w:val="32"/>
          <w:highlight w:val="none"/>
          <w:lang w:eastAsia="zh-CN"/>
        </w:rPr>
        <w:t>资助，由</w:t>
      </w:r>
      <w:r>
        <w:rPr>
          <w:rFonts w:hint="eastAsia" w:eastAsia="仿宋_GB2312" w:cs="Times New Roman"/>
          <w:color w:val="auto"/>
          <w:sz w:val="32"/>
          <w:szCs w:val="32"/>
          <w:highlight w:val="none"/>
          <w:lang w:val="en-US" w:eastAsia="zh-CN"/>
        </w:rPr>
        <w:t>申报单位自行选择其中一项政策进行申报；本指南实施期间如遇政策调整的，可进行相应调整。</w:t>
      </w:r>
    </w:p>
    <w:p>
      <w:pPr>
        <w:pStyle w:val="3"/>
        <w:spacing w:line="560" w:lineRule="exact"/>
        <w:rPr>
          <w:rFonts w:hint="eastAsia" w:ascii="仿宋_GB2312" w:hAnsi="仿宋_GB2312" w:eastAsia="仿宋_GB2312" w:cs="仿宋_GB2312"/>
          <w:color w:val="auto"/>
          <w:sz w:val="32"/>
          <w:szCs w:val="32"/>
          <w:highlight w:val="none"/>
          <w:u w:val="none"/>
          <w:lang w:val="en"/>
        </w:rPr>
      </w:pPr>
    </w:p>
    <w:p>
      <w:pPr>
        <w:spacing w:line="560" w:lineRule="exact"/>
        <w:rPr>
          <w:rFonts w:hint="eastAsia"/>
          <w:color w:val="auto"/>
          <w:lang w:val="en"/>
        </w:rPr>
      </w:pP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附件：</w:t>
      </w:r>
      <w:r>
        <w:rPr>
          <w:rFonts w:hint="eastAsia" w:ascii="Times New Roman" w:hAnsi="Times New Roman" w:eastAsia="仿宋_GB2312" w:cs="Times New Roman"/>
          <w:color w:val="auto"/>
          <w:sz w:val="32"/>
          <w:szCs w:val="32"/>
          <w:highlight w:val="none"/>
          <w:lang w:val="en-US" w:eastAsia="zh-CN"/>
        </w:rPr>
        <w:t>承诺书</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p>
    <w:p>
      <w:pPr>
        <w:pageBreakBefore w:val="0"/>
        <w:widowControl/>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 .</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7CEF138"/>
    <w:rsid w:val="0F797745"/>
    <w:rsid w:val="0FEF690D"/>
    <w:rsid w:val="14C21F4F"/>
    <w:rsid w:val="17FF6308"/>
    <w:rsid w:val="19E745FE"/>
    <w:rsid w:val="1FEDDCE3"/>
    <w:rsid w:val="1FFBBF06"/>
    <w:rsid w:val="25FB9112"/>
    <w:rsid w:val="27B70DFE"/>
    <w:rsid w:val="29EF6F64"/>
    <w:rsid w:val="2A3FA083"/>
    <w:rsid w:val="2ADD9CCA"/>
    <w:rsid w:val="2BF52295"/>
    <w:rsid w:val="2DDA9609"/>
    <w:rsid w:val="2F4A1A21"/>
    <w:rsid w:val="2FFFF7C7"/>
    <w:rsid w:val="352F76FB"/>
    <w:rsid w:val="35F7DBCA"/>
    <w:rsid w:val="35FE5169"/>
    <w:rsid w:val="37F513FF"/>
    <w:rsid w:val="3AF73737"/>
    <w:rsid w:val="3B7B3F04"/>
    <w:rsid w:val="3BE78ADA"/>
    <w:rsid w:val="3BFD5F35"/>
    <w:rsid w:val="3CF94BD9"/>
    <w:rsid w:val="3CFFB16A"/>
    <w:rsid w:val="3DFADDAC"/>
    <w:rsid w:val="3DFB6D62"/>
    <w:rsid w:val="3E6BA866"/>
    <w:rsid w:val="3F5EE876"/>
    <w:rsid w:val="3FF6B842"/>
    <w:rsid w:val="47E79A64"/>
    <w:rsid w:val="4B2F206C"/>
    <w:rsid w:val="4F76C6C9"/>
    <w:rsid w:val="4F7E66AE"/>
    <w:rsid w:val="4FBFBC4D"/>
    <w:rsid w:val="537F6AA3"/>
    <w:rsid w:val="574CA371"/>
    <w:rsid w:val="57672E12"/>
    <w:rsid w:val="5A2E2F3F"/>
    <w:rsid w:val="5BD713CA"/>
    <w:rsid w:val="5D7FC57B"/>
    <w:rsid w:val="5DF38349"/>
    <w:rsid w:val="5EBF63D9"/>
    <w:rsid w:val="5F2D7811"/>
    <w:rsid w:val="5F9795C8"/>
    <w:rsid w:val="5FB6BE02"/>
    <w:rsid w:val="5FDF7975"/>
    <w:rsid w:val="5FE5BB10"/>
    <w:rsid w:val="5FE93E0B"/>
    <w:rsid w:val="5FFF342B"/>
    <w:rsid w:val="63F3B8C6"/>
    <w:rsid w:val="63FE4C22"/>
    <w:rsid w:val="65FB3055"/>
    <w:rsid w:val="66FFB9E6"/>
    <w:rsid w:val="68FFA83E"/>
    <w:rsid w:val="6BFECC48"/>
    <w:rsid w:val="6CCFB352"/>
    <w:rsid w:val="6E7F4E40"/>
    <w:rsid w:val="6EAFCC29"/>
    <w:rsid w:val="6F7B65E5"/>
    <w:rsid w:val="6FBFEF3E"/>
    <w:rsid w:val="6FDE5F22"/>
    <w:rsid w:val="6FF5D365"/>
    <w:rsid w:val="75437310"/>
    <w:rsid w:val="75EF6C65"/>
    <w:rsid w:val="75F78BE4"/>
    <w:rsid w:val="767B71AE"/>
    <w:rsid w:val="778B17E7"/>
    <w:rsid w:val="77F1C333"/>
    <w:rsid w:val="77F7AC6A"/>
    <w:rsid w:val="7888303D"/>
    <w:rsid w:val="79B78EFF"/>
    <w:rsid w:val="79B8379B"/>
    <w:rsid w:val="79D36DF9"/>
    <w:rsid w:val="7ABF18F7"/>
    <w:rsid w:val="7B7F6C3E"/>
    <w:rsid w:val="7BA45969"/>
    <w:rsid w:val="7BF16F19"/>
    <w:rsid w:val="7BFFE265"/>
    <w:rsid w:val="7C4E7B4A"/>
    <w:rsid w:val="7CBF05F1"/>
    <w:rsid w:val="7CD34175"/>
    <w:rsid w:val="7CF75A30"/>
    <w:rsid w:val="7D7F67D3"/>
    <w:rsid w:val="7D7F765C"/>
    <w:rsid w:val="7DDF1FB7"/>
    <w:rsid w:val="7DFF1A15"/>
    <w:rsid w:val="7E46E04D"/>
    <w:rsid w:val="7EA700B7"/>
    <w:rsid w:val="7EB6BFEA"/>
    <w:rsid w:val="7EE7ED4E"/>
    <w:rsid w:val="7EF3EF29"/>
    <w:rsid w:val="7EF4AAF8"/>
    <w:rsid w:val="7F3B2889"/>
    <w:rsid w:val="7F5BE1BE"/>
    <w:rsid w:val="7F7B5DBB"/>
    <w:rsid w:val="7F7D4E26"/>
    <w:rsid w:val="7F7D6F51"/>
    <w:rsid w:val="7F7FE499"/>
    <w:rsid w:val="7F8EA0FC"/>
    <w:rsid w:val="7FBF17BA"/>
    <w:rsid w:val="7FBF430C"/>
    <w:rsid w:val="7FBFB75A"/>
    <w:rsid w:val="7FCED91D"/>
    <w:rsid w:val="7FDB067F"/>
    <w:rsid w:val="7FE107A7"/>
    <w:rsid w:val="7FE9C713"/>
    <w:rsid w:val="7FF877C0"/>
    <w:rsid w:val="7FFA8206"/>
    <w:rsid w:val="7FFD941B"/>
    <w:rsid w:val="7FFD9E25"/>
    <w:rsid w:val="7FFE7031"/>
    <w:rsid w:val="7FFFE544"/>
    <w:rsid w:val="8DFBDCCB"/>
    <w:rsid w:val="9E9DE5FB"/>
    <w:rsid w:val="A7579257"/>
    <w:rsid w:val="ADFFD4D0"/>
    <w:rsid w:val="AFD18466"/>
    <w:rsid w:val="AFF578E9"/>
    <w:rsid w:val="B0BF6296"/>
    <w:rsid w:val="B1FFD550"/>
    <w:rsid w:val="B3BFCC26"/>
    <w:rsid w:val="B7CB36B2"/>
    <w:rsid w:val="B9779F86"/>
    <w:rsid w:val="B9EF0DC7"/>
    <w:rsid w:val="BB633436"/>
    <w:rsid w:val="BBA68BC5"/>
    <w:rsid w:val="BDDEFEED"/>
    <w:rsid w:val="BE6B0BCB"/>
    <w:rsid w:val="BEC4DF3E"/>
    <w:rsid w:val="BEFF518D"/>
    <w:rsid w:val="BF2FBB96"/>
    <w:rsid w:val="BFD7FD31"/>
    <w:rsid w:val="BFDB7264"/>
    <w:rsid w:val="BFEBE4BC"/>
    <w:rsid w:val="BFF47F3F"/>
    <w:rsid w:val="BFFB7807"/>
    <w:rsid w:val="BFFDADEB"/>
    <w:rsid w:val="BFFE11B2"/>
    <w:rsid w:val="C7EF5F19"/>
    <w:rsid w:val="D7DA7AC5"/>
    <w:rsid w:val="D8F4801F"/>
    <w:rsid w:val="DAAFEB80"/>
    <w:rsid w:val="DBBE4F9E"/>
    <w:rsid w:val="DC77F864"/>
    <w:rsid w:val="DCBDE98C"/>
    <w:rsid w:val="DDBF9BD9"/>
    <w:rsid w:val="DEF4DD68"/>
    <w:rsid w:val="DF0F8825"/>
    <w:rsid w:val="DF7F69F1"/>
    <w:rsid w:val="DF96CA2A"/>
    <w:rsid w:val="DFBBE89D"/>
    <w:rsid w:val="DFCAC2CD"/>
    <w:rsid w:val="DFFDE8A8"/>
    <w:rsid w:val="DFFF4CF6"/>
    <w:rsid w:val="DFFF6791"/>
    <w:rsid w:val="E4FA26ED"/>
    <w:rsid w:val="E7665380"/>
    <w:rsid w:val="EDFB8473"/>
    <w:rsid w:val="EEBF47DD"/>
    <w:rsid w:val="EF5B54E7"/>
    <w:rsid w:val="EFA7F57E"/>
    <w:rsid w:val="EFAEA8E6"/>
    <w:rsid w:val="EFBB2E51"/>
    <w:rsid w:val="EFDD4026"/>
    <w:rsid w:val="EFDF72E5"/>
    <w:rsid w:val="EFDF7EB8"/>
    <w:rsid w:val="EFFBCCE9"/>
    <w:rsid w:val="F3FA67BC"/>
    <w:rsid w:val="F5FD2F20"/>
    <w:rsid w:val="F60F1924"/>
    <w:rsid w:val="F7F3823F"/>
    <w:rsid w:val="F7FB7865"/>
    <w:rsid w:val="F7FDF558"/>
    <w:rsid w:val="F99A192D"/>
    <w:rsid w:val="F9FFD1E4"/>
    <w:rsid w:val="FA39C6EA"/>
    <w:rsid w:val="FAFEE317"/>
    <w:rsid w:val="FB7E3795"/>
    <w:rsid w:val="FBEF2DFC"/>
    <w:rsid w:val="FBF7B9D2"/>
    <w:rsid w:val="FD736BEC"/>
    <w:rsid w:val="FDF71A72"/>
    <w:rsid w:val="FDFCD059"/>
    <w:rsid w:val="FE34A53A"/>
    <w:rsid w:val="FEA6DE13"/>
    <w:rsid w:val="FEAB1AAD"/>
    <w:rsid w:val="FEC7946F"/>
    <w:rsid w:val="FECC90BB"/>
    <w:rsid w:val="FEEEF5F2"/>
    <w:rsid w:val="FEF518D6"/>
    <w:rsid w:val="FEFBDB90"/>
    <w:rsid w:val="FEFDB02A"/>
    <w:rsid w:val="FEFDB58F"/>
    <w:rsid w:val="FEFF60FB"/>
    <w:rsid w:val="FF7BD5F0"/>
    <w:rsid w:val="FF8D733A"/>
    <w:rsid w:val="FFAF00E0"/>
    <w:rsid w:val="FFF71E72"/>
    <w:rsid w:val="FFF931D7"/>
    <w:rsid w:val="FFFBF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0" w:after="0" w:afterAutospacing="0" w:line="560" w:lineRule="exact"/>
      <w:jc w:val="left"/>
      <w:outlineLvl w:val="0"/>
    </w:pPr>
    <w:rPr>
      <w:rFonts w:hint="eastAsia" w:ascii="宋体" w:hAnsi="宋体" w:eastAsia="方正小标宋简体" w:cs="宋体"/>
      <w:kern w:val="44"/>
      <w:sz w:val="44"/>
      <w:szCs w:val="48"/>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jc w:val="both"/>
    </w:pPr>
    <w:rPr>
      <w:rFonts w:ascii="Times New Roman" w:hAnsi="Times New Roman" w:eastAsia="宋体" w:cs="Times New Roman"/>
      <w:sz w:val="24"/>
      <w:szCs w:val="28"/>
      <w:lang w:val="en-US" w:eastAsia="zh-CN" w:bidi="ar-SA"/>
    </w:rPr>
  </w:style>
  <w:style w:type="paragraph" w:styleId="4">
    <w:name w:val="annotation text"/>
    <w:basedOn w:val="1"/>
    <w:qFormat/>
    <w:uiPriority w:val="0"/>
    <w:pPr>
      <w:jc w:val="left"/>
    </w:pPr>
  </w:style>
  <w:style w:type="paragraph" w:styleId="5">
    <w:name w:val="Body Text"/>
    <w:basedOn w:val="1"/>
    <w:next w:val="6"/>
    <w:qFormat/>
    <w:uiPriority w:val="0"/>
    <w:rPr>
      <w:rFonts w:ascii="仿宋_GB2312" w:hAnsi="仿宋_GB2312" w:eastAsia="仿宋_GB2312" w:cs="仿宋_GB2312"/>
      <w:szCs w:val="32"/>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Body Text Indent"/>
    <w:basedOn w:val="1"/>
    <w:qFormat/>
    <w:uiPriority w:val="0"/>
    <w:pPr>
      <w:spacing w:line="560" w:lineRule="exact"/>
      <w:ind w:firstLine="420" w:firstLineChars="200"/>
      <w:jc w:val="left"/>
    </w:pPr>
    <w:rPr>
      <w:rFonts w:ascii="宋体" w:hAnsi="宋体"/>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2024-05-11T23:33:00Z</dcterms:created>
  <dc:creator>fa</dc:creator>
  <cp:lastModifiedBy>陈宏燕</cp:lastModifiedBy>
  <dcterms:modified xsi:type="dcterms:W3CDTF">2024-11-22T17:54:23Z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E80D134454EC0E9017F73267431966BC</vt:lpwstr>
  </property>
</Properties>
</file>