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color w:val="000000" w:themeColor="text1"/>
          <w:spacing w:val="-14"/>
          <w:sz w:val="44"/>
          <w:szCs w:val="44"/>
          <w:highlight w:val="none"/>
          <w14:textFill>
            <w14:solidFill>
              <w14:schemeClr w14:val="tx1"/>
            </w14:solidFill>
          </w14:textFill>
        </w:rPr>
      </w:pPr>
      <w:bookmarkStart w:id="1" w:name="_GoBack"/>
      <w:bookmarkEnd w:id="1"/>
      <w:r>
        <w:rPr>
          <w:rFonts w:hint="eastAsia" w:ascii="方正小标宋_GBK" w:hAnsi="方正小标宋_GBK" w:eastAsia="方正小标宋_GBK" w:cs="方正小标宋_GBK"/>
          <w:color w:val="000000" w:themeColor="text1"/>
          <w:spacing w:val="-14"/>
          <w:sz w:val="44"/>
          <w:szCs w:val="44"/>
          <w:highlight w:val="none"/>
          <w14:textFill>
            <w14:solidFill>
              <w14:schemeClr w14:val="tx1"/>
            </w14:solidFill>
          </w14:textFill>
        </w:rPr>
        <w:t>南山区促进产业高质量发展专项资金——</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color w:val="000000" w:themeColor="text1"/>
          <w:spacing w:val="-14"/>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pacing w:val="-14"/>
          <w:sz w:val="44"/>
          <w:szCs w:val="44"/>
          <w:highlight w:val="none"/>
          <w14:textFill>
            <w14:solidFill>
              <w14:schemeClr w14:val="tx1"/>
            </w14:solidFill>
          </w14:textFill>
        </w:rPr>
        <w:t>区文化广电旅游体育局分项资金</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eastAsia="黑体"/>
          <w:color w:val="000000" w:themeColor="text1"/>
          <w:sz w:val="32"/>
          <w:szCs w:val="32"/>
          <w:highlight w:val="none"/>
          <w14:textFill>
            <w14:solidFill>
              <w14:schemeClr w14:val="tx1"/>
            </w14:solidFill>
          </w14:textFill>
        </w:rPr>
      </w:pPr>
      <w:r>
        <w:rPr>
          <w:rFonts w:hint="eastAsia" w:ascii="方正小标宋_GBK" w:hAnsi="方正小标宋_GBK" w:eastAsia="方正小标宋_GBK" w:cs="方正小标宋_GBK"/>
          <w:color w:val="000000" w:themeColor="text1"/>
          <w:spacing w:val="-14"/>
          <w:sz w:val="44"/>
          <w:szCs w:val="44"/>
          <w:highlight w:val="none"/>
          <w14:textFill>
            <w14:solidFill>
              <w14:schemeClr w14:val="tx1"/>
            </w14:solidFill>
          </w14:textFill>
        </w:rPr>
        <w:t>支持建设电竞场馆</w:t>
      </w:r>
      <w:r>
        <w:rPr>
          <w:rFonts w:hint="eastAsia" w:ascii="方正小标宋_GBK" w:hAnsi="方正小标宋_GBK" w:eastAsia="方正小标宋_GBK" w:cs="方正小标宋_GBK"/>
          <w:color w:val="000000" w:themeColor="text1"/>
          <w:spacing w:val="-14"/>
          <w:sz w:val="44"/>
          <w:szCs w:val="44"/>
          <w:highlight w:val="none"/>
          <w:lang w:val="en-US" w:eastAsia="zh-CN"/>
          <w14:textFill>
            <w14:solidFill>
              <w14:schemeClr w14:val="tx1"/>
            </w14:solidFill>
          </w14:textFill>
        </w:rPr>
        <w:t>项目</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操作规程</w:t>
      </w:r>
    </w:p>
    <w:p>
      <w:pPr>
        <w:adjustRightInd w:val="0"/>
        <w:snapToGrid w:val="0"/>
        <w:spacing w:line="560" w:lineRule="exact"/>
        <w:rPr>
          <w:rFonts w:hAnsi="仿宋"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为鼓励社会力量新建或改建电竞场馆，支持租赁场馆举办职业电竞赛事和特色电竞赛事，拓展电竞产业空间，根据《南山区促进产业高质量发展专项资金管理办法》和《南山区促进电竞产业发展专项扶持措施》，制定本操作规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一、政策内容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支持建设电竞场馆。对经认定的新建或改建的电竞场馆，按照硬件建设和电竞设备投入资金的20%给予补贴，每个场馆不超过500万元；属于租赁物业的，按照实际支付租金的50%给予补贴，每个电竞场馆每年不超过100万元，资助期限不超过3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eastAsia="黑体"/>
          <w:color w:val="000000" w:themeColor="text1"/>
          <w:sz w:val="32"/>
          <w:szCs w:val="32"/>
          <w:highlight w:val="none"/>
          <w:lang w:eastAsia="zh-CN"/>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二、资助</w:t>
      </w:r>
      <w:r>
        <w:rPr>
          <w:rFonts w:hint="eastAsia" w:hAnsi="黑体" w:eastAsia="黑体"/>
          <w:color w:val="000000" w:themeColor="text1"/>
          <w:sz w:val="32"/>
          <w:szCs w:val="32"/>
          <w:highlight w:val="none"/>
          <w:lang w:val="en-US" w:eastAsia="zh-CN"/>
          <w14:textFill>
            <w14:solidFill>
              <w14:schemeClr w14:val="tx1"/>
            </w14:solidFill>
          </w14:textFill>
        </w:rPr>
        <w:t>标准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新建、改建或租赁的电竞场馆，按照项目实际投入资金的20%给予一次性补贴，补贴不超过500万元；属于租赁物业的电竞场馆，按照实际支付租金的50%给予补贴，每年不超过100万元，补贴不超过3年。新建或改建的电竞场馆的项目实际投入资金包括建设费、改建费、装修费、电竞设备购置费等。</w:t>
      </w:r>
    </w:p>
    <w:p>
      <w:pPr>
        <w:spacing w:after="0" w:line="560" w:lineRule="exact"/>
        <w:ind w:firstLine="640" w:firstLineChars="200"/>
        <w:contextualSpacing/>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三、设定依据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pP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南山区促进产业高质量发展专项资金管理办法</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pP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（二）</w:t>
      </w:r>
      <w:r>
        <w:rPr>
          <w:rFonts w:hint="eastAsia" w:ascii="仿宋_GB2312" w:hAnsi="仿宋" w:eastAsia="仿宋_GB2312"/>
          <w:color w:val="000000" w:themeColor="text1"/>
          <w:sz w:val="32"/>
          <w:szCs w:val="32"/>
          <w:highlight w:val="none"/>
          <w14:textFill>
            <w14:solidFill>
              <w14:schemeClr w14:val="tx1"/>
            </w14:solidFill>
          </w14:textFill>
        </w:rPr>
        <w:t>《南山区促进电竞产业发展专项扶持措施》</w:t>
      </w:r>
      <w:r>
        <w:rPr>
          <w:rFonts w:hint="eastAsia" w:ascii="仿宋_GB2312" w:hAnsi="仿宋"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lang w:val="en-US" w:eastAsia="zh-CN"/>
          <w14:textFill>
            <w14:solidFill>
              <w14:schemeClr w14:val="tx1"/>
            </w14:solidFill>
          </w14:textFill>
        </w:rPr>
        <w:t>四</w:t>
      </w:r>
      <w:r>
        <w:rPr>
          <w:rFonts w:hint="eastAsia" w:hAnsi="黑体" w:eastAsia="黑体"/>
          <w:color w:val="000000" w:themeColor="text1"/>
          <w:sz w:val="32"/>
          <w:szCs w:val="32"/>
          <w:highlight w:val="none"/>
          <w14:textFill>
            <w14:solidFill>
              <w14:schemeClr w14:val="tx1"/>
            </w14:solidFill>
          </w14:textFill>
        </w:rPr>
        <w:t>、申报对象和条件</w:t>
      </w:r>
    </w:p>
    <w:p>
      <w:pPr>
        <w:pStyle w:val="16"/>
        <w:keepNext w:val="0"/>
        <w:keepLines w:val="0"/>
        <w:pageBreakBefore w:val="0"/>
        <w:tabs>
          <w:tab w:val="left" w:pos="0"/>
        </w:tabs>
        <w:kinsoku/>
        <w:wordWrap/>
        <w:overflowPunct/>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（一）</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申报主体为在南山区依法经营且具有独立法人资格的企事业单位；</w:t>
      </w:r>
    </w:p>
    <w:p>
      <w:pPr>
        <w:pStyle w:val="16"/>
        <w:keepNext w:val="0"/>
        <w:keepLines w:val="0"/>
        <w:pageBreakBefore w:val="0"/>
        <w:tabs>
          <w:tab w:val="left" w:pos="0"/>
        </w:tabs>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themeColor="text1"/>
          <w:spacing w:val="4"/>
          <w:kern w:val="0"/>
          <w:sz w:val="32"/>
          <w:szCs w:val="32"/>
          <w:highlight w:val="none"/>
          <w:lang w:eastAsia="zh-CN"/>
          <w14:textFill>
            <w14:solidFill>
              <w14:schemeClr w14:val="tx1"/>
            </w14:solidFill>
          </w14:textFill>
        </w:rPr>
      </w:pP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lang w:val="en-US" w:eastAsia="zh-CN"/>
        </w:rPr>
        <w:t>二</w:t>
      </w: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仿宋"/>
          <w:color w:val="000000" w:themeColor="text1"/>
          <w:sz w:val="32"/>
          <w:szCs w:val="32"/>
          <w:highlight w:val="none"/>
          <w14:textFill>
            <w14:solidFill>
              <w14:schemeClr w14:val="tx1"/>
            </w14:solidFill>
          </w14:textFill>
        </w:rPr>
        <w:t>电竞场馆</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的标准：</w:t>
      </w:r>
      <w:r>
        <w:rPr>
          <w:rFonts w:hint="eastAsia" w:ascii="仿宋_GB2312" w:hAnsi="仿宋" w:eastAsia="仿宋_GB2312" w:cs="Times New Roman"/>
          <w:color w:val="000000"/>
          <w:sz w:val="32"/>
          <w:szCs w:val="32"/>
          <w:highlight w:val="none"/>
        </w:rPr>
        <w:t>新建、改建或租赁的场馆，</w:t>
      </w:r>
      <w:r>
        <w:rPr>
          <w:rFonts w:hint="eastAsia" w:ascii="仿宋_GB2312" w:hAnsi="仿宋" w:eastAsia="仿宋_GB2312" w:cs="Times New Roman"/>
          <w:color w:val="000000"/>
          <w:sz w:val="32"/>
          <w:szCs w:val="32"/>
          <w:highlight w:val="none"/>
          <w:lang w:val="en-US" w:eastAsia="zh-CN"/>
        </w:rPr>
        <w:t>须在上两年度内投入使用、主要用于举办电竞赛事，且须符合以下条件中至少一个：Ⅰ.</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获评为市文化广电旅游体育局认证的电竞场馆；Ⅱ.</w:t>
      </w:r>
      <w:r>
        <w:rPr>
          <w:rFonts w:hint="eastAsia" w:ascii="仿宋_GB2312" w:hAnsi="仿宋" w:eastAsia="仿宋_GB2312" w:cs="Times New Roman"/>
          <w:color w:val="000000"/>
          <w:sz w:val="32"/>
          <w:szCs w:val="32"/>
          <w:highlight w:val="none"/>
          <w:lang w:val="en-US" w:eastAsia="zh-CN"/>
        </w:rPr>
        <w:t>上两年度内</w:t>
      </w:r>
      <w:r>
        <w:rPr>
          <w:rFonts w:hint="eastAsia" w:ascii="仿宋_GB2312" w:hAnsi="仿宋" w:eastAsia="仿宋_GB2312" w:cs="Times New Roman"/>
          <w:color w:val="000000"/>
          <w:sz w:val="32"/>
          <w:szCs w:val="32"/>
          <w:highlight w:val="none"/>
        </w:rPr>
        <w:t>举办</w:t>
      </w:r>
      <w:r>
        <w:rPr>
          <w:rFonts w:hint="eastAsia" w:ascii="仿宋_GB2312" w:hAnsi="仿宋" w:eastAsia="仿宋_GB2312" w:cs="Times New Roman"/>
          <w:color w:val="000000"/>
          <w:sz w:val="32"/>
          <w:szCs w:val="32"/>
          <w:highlight w:val="none"/>
          <w:lang w:val="en-US" w:eastAsia="zh-CN"/>
        </w:rPr>
        <w:t>过</w:t>
      </w:r>
      <w:r>
        <w:rPr>
          <w:rFonts w:ascii="仿宋_GB2312" w:hAnsi="仿宋" w:eastAsia="仿宋_GB2312" w:cs="仿宋"/>
          <w:color w:val="000000" w:themeColor="text1"/>
          <w:sz w:val="32"/>
          <w:szCs w:val="32"/>
          <w:highlight w:val="none"/>
          <w14:textFill>
            <w14:solidFill>
              <w14:schemeClr w14:val="tx1"/>
            </w14:solidFill>
          </w14:textFill>
        </w:rPr>
        <w:t>2场以上</w:t>
      </w:r>
      <w:r>
        <w:rPr>
          <w:rFonts w:hint="eastAsia" w:ascii="仿宋_GB2312" w:hAnsi="仿宋" w:eastAsia="仿宋_GB2312" w:cs="仿宋"/>
          <w:color w:val="000000" w:themeColor="text1"/>
          <w:sz w:val="32"/>
          <w:szCs w:val="32"/>
          <w:highlight w:val="none"/>
          <w14:textFill>
            <w14:solidFill>
              <w14:schemeClr w14:val="tx1"/>
            </w14:solidFill>
          </w14:textFill>
        </w:rPr>
        <w:t>国际性/全国性顶级职业赛事</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或5场以上</w:t>
      </w:r>
      <w:r>
        <w:rPr>
          <w:rFonts w:hint="eastAsia" w:ascii="仿宋_GB2312" w:hAnsi="仿宋" w:eastAsia="仿宋_GB2312" w:cs="仿宋"/>
          <w:color w:val="000000" w:themeColor="text1"/>
          <w:sz w:val="32"/>
          <w:szCs w:val="32"/>
          <w:highlight w:val="none"/>
          <w14:textFill>
            <w14:solidFill>
              <w14:schemeClr w14:val="tx1"/>
            </w14:solidFill>
          </w14:textFill>
        </w:rPr>
        <w:t>特色电竞赛事</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的场馆;Ⅲ.总投资额超过1000万元，座位数超过200(以每个座位占地面积1平方米计)，总面积超过1500平方米（含各类功能用房），电竞赛事所需各类设施配套、功能用房完善的场馆</w:t>
      </w:r>
      <w:r>
        <w:rPr>
          <w:rFonts w:hint="eastAsia" w:ascii="仿宋_GB2312" w:hAnsi="仿宋" w:eastAsia="仿宋_GB2312" w:cs="仿宋"/>
          <w:color w:val="000000" w:themeColor="text1"/>
          <w:sz w:val="32"/>
          <w:szCs w:val="32"/>
          <w:highlight w:val="none"/>
          <w14:textFill>
            <w14:solidFill>
              <w14:schemeClr w14:val="tx1"/>
            </w14:solidFill>
          </w14:textFill>
        </w:rPr>
        <w:t>。</w:t>
      </w:r>
    </w:p>
    <w:p>
      <w:pPr>
        <w:pStyle w:val="16"/>
        <w:keepNext w:val="0"/>
        <w:keepLines w:val="0"/>
        <w:pageBreakBefore w:val="0"/>
        <w:tabs>
          <w:tab w:val="left" w:pos="0"/>
        </w:tabs>
        <w:kinsoku/>
        <w:wordWrap/>
        <w:overflowPunct/>
        <w:topLinePunct w:val="0"/>
        <w:autoSpaceDE/>
        <w:autoSpaceDN/>
        <w:bidi w:val="0"/>
        <w:spacing w:line="560" w:lineRule="exact"/>
        <w:ind w:firstLine="656" w:firstLineChars="200"/>
        <w:textAlignment w:val="auto"/>
        <w:rPr>
          <w:rFonts w:ascii="仿宋_GB2312" w:hAnsi="仿宋" w:eastAsia="仿宋_GB2312" w:cs="Times New Roman"/>
          <w:color w:val="000000"/>
          <w:sz w:val="32"/>
          <w:szCs w:val="32"/>
          <w:highlight w:val="none"/>
        </w:rPr>
      </w:pPr>
      <w:r>
        <w:rPr>
          <w:rFonts w:hint="eastAsia" w:ascii="仿宋_GB2312" w:hAnsi="宋体" w:eastAsia="仿宋_GB2312"/>
          <w:color w:val="000000" w:themeColor="text1"/>
          <w:spacing w:val="4"/>
          <w:kern w:val="0"/>
          <w:sz w:val="32"/>
          <w:szCs w:val="32"/>
          <w:highlight w:val="none"/>
          <w:lang w:val="en-US" w:eastAsia="zh-CN"/>
          <w14:textFill>
            <w14:solidFill>
              <w14:schemeClr w14:val="tx1"/>
            </w14:solidFill>
          </w14:textFill>
        </w:rPr>
        <w:t>1.</w:t>
      </w:r>
      <w:r>
        <w:rPr>
          <w:rFonts w:hint="eastAsia" w:ascii="仿宋_GB2312" w:hAnsi="仿宋" w:eastAsia="仿宋_GB2312" w:cs="仿宋"/>
          <w:color w:val="000000" w:themeColor="text1"/>
          <w:sz w:val="32"/>
          <w:szCs w:val="32"/>
          <w:highlight w:val="none"/>
          <w14:textFill>
            <w14:solidFill>
              <w14:schemeClr w14:val="tx1"/>
            </w14:solidFill>
          </w14:textFill>
        </w:rPr>
        <w:t>职业电竞赛事</w:t>
      </w:r>
      <w:r>
        <w:rPr>
          <w:rFonts w:hint="eastAsia" w:ascii="仿宋_GB2312" w:hAnsi="仿宋" w:eastAsia="仿宋_GB2312" w:cs="Times New Roman"/>
          <w:color w:val="000000"/>
          <w:sz w:val="32"/>
          <w:szCs w:val="32"/>
          <w:highlight w:val="none"/>
        </w:rPr>
        <w:t>的标准：</w:t>
      </w:r>
      <w:r>
        <w:rPr>
          <w:rFonts w:hint="eastAsia" w:ascii="仿宋_GB2312" w:hAnsi="仿宋" w:eastAsia="仿宋_GB2312" w:cs="仿宋"/>
          <w:color w:val="000000" w:themeColor="text1"/>
          <w:sz w:val="32"/>
          <w:szCs w:val="32"/>
          <w:highlight w:val="none"/>
          <w14:textFill>
            <w14:solidFill>
              <w14:schemeClr w14:val="tx1"/>
            </w14:solidFill>
          </w14:textFill>
        </w:rPr>
        <w:t>国际性赛事的</w:t>
      </w:r>
      <w:r>
        <w:rPr>
          <w:rFonts w:hint="eastAsia" w:ascii="仿宋_GB2312" w:hAnsi="仿宋" w:eastAsia="仿宋_GB2312" w:cs="Times New Roman"/>
          <w:color w:val="000000"/>
          <w:sz w:val="32"/>
          <w:szCs w:val="32"/>
          <w:highlight w:val="none"/>
        </w:rPr>
        <w:t>总奖金不低于100万美元或</w:t>
      </w:r>
      <w:r>
        <w:rPr>
          <w:rFonts w:hint="eastAsia" w:ascii="仿宋_GB2312" w:hAnsi="仿宋" w:eastAsia="仿宋_GB2312" w:cs="Times New Roman"/>
          <w:color w:val="000000"/>
          <w:sz w:val="32"/>
          <w:szCs w:val="32"/>
          <w:highlight w:val="none"/>
          <w:lang w:val="en-US" w:eastAsia="zh-CN"/>
        </w:rPr>
        <w:t>6</w:t>
      </w:r>
      <w:r>
        <w:rPr>
          <w:rFonts w:hint="eastAsia" w:ascii="仿宋_GB2312" w:hAnsi="仿宋" w:eastAsia="仿宋_GB2312" w:cs="Times New Roman"/>
          <w:color w:val="000000"/>
          <w:sz w:val="32"/>
          <w:szCs w:val="32"/>
          <w:highlight w:val="none"/>
        </w:rPr>
        <w:t>00万元人民币，全国性赛事的总奖金不低于300万元人民币。</w:t>
      </w:r>
    </w:p>
    <w:p>
      <w:pPr>
        <w:pStyle w:val="16"/>
        <w:keepNext w:val="0"/>
        <w:keepLines w:val="0"/>
        <w:pageBreakBefore w:val="0"/>
        <w:tabs>
          <w:tab w:val="left" w:pos="0"/>
        </w:tabs>
        <w:kinsoku/>
        <w:wordWrap/>
        <w:overflowPunct/>
        <w:topLinePunct w:val="0"/>
        <w:autoSpaceDE/>
        <w:autoSpaceDN/>
        <w:bidi w:val="0"/>
        <w:spacing w:line="560" w:lineRule="exact"/>
        <w:ind w:firstLine="656"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pacing w:val="4"/>
          <w:kern w:val="0"/>
          <w:sz w:val="32"/>
          <w:szCs w:val="32"/>
          <w:highlight w:val="none"/>
          <w:lang w:val="en-US" w:eastAsia="zh-CN"/>
          <w14:textFill>
            <w14:solidFill>
              <w14:schemeClr w14:val="tx1"/>
            </w14:solidFill>
          </w14:textFill>
        </w:rPr>
        <w:t>2.</w:t>
      </w:r>
      <w:r>
        <w:rPr>
          <w:rFonts w:hint="eastAsia" w:ascii="仿宋_GB2312" w:hAnsi="仿宋" w:eastAsia="仿宋_GB2312" w:cs="Times New Roman"/>
          <w:color w:val="000000"/>
          <w:sz w:val="32"/>
          <w:szCs w:val="32"/>
          <w:highlight w:val="none"/>
        </w:rPr>
        <w:t>特色电竞赛事的标准：高校电竞赛，要求有10所以上高校参与、2000名以上选手参加比赛；区域类电竞赛，要求须含深圳在内的不少于10个地市级以上城市代表队、总选手人数不少于1000人参加比赛，或须含香港、澳门和深圳在内的地级市不少于5个以上城市代表队、总选手人数不少于500人参加的粤港澳大湾区电竞赛事；经备案的电竞俱乐部，在南山区举办的联盟主场赛事；机器人格斗、虚拟无人机等电子体育赛事，要求总选手人数不少于200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五、资助方式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Times New Roman"/>
          <w:color w:val="000000"/>
          <w:sz w:val="32"/>
          <w:szCs w:val="32"/>
          <w:highlight w:val="none"/>
        </w:rPr>
      </w:pPr>
      <w:r>
        <w:rPr>
          <w:rFonts w:hint="eastAsia" w:ascii="仿宋_GB2312" w:eastAsia="仿宋_GB2312"/>
          <w:sz w:val="32"/>
          <w:szCs w:val="32"/>
          <w:lang w:eastAsia="zh-CN"/>
        </w:rPr>
        <w:t>本资助计划属核准类，实行单位申报、材料审核、社会公示、政府决策的原则，采取无偿资助方式，受资助项目无需验收。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Ansi="黑体"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lang w:val="en-US" w:eastAsia="zh-CN"/>
          <w14:textFill>
            <w14:solidFill>
              <w14:schemeClr w14:val="tx1"/>
            </w14:solidFill>
          </w14:textFill>
        </w:rPr>
        <w:t>六</w:t>
      </w:r>
      <w:r>
        <w:rPr>
          <w:rFonts w:hint="eastAsia" w:hAnsi="黑体" w:eastAsia="黑体"/>
          <w:color w:val="000000" w:themeColor="text1"/>
          <w:sz w:val="32"/>
          <w:szCs w:val="32"/>
          <w:highlight w:val="none"/>
          <w14:textFill>
            <w14:solidFill>
              <w14:schemeClr w14:val="tx1"/>
            </w14:solidFill>
          </w14:textFill>
        </w:rPr>
        <w:t>、</w:t>
      </w:r>
      <w:r>
        <w:rPr>
          <w:rFonts w:hint="eastAsia" w:ascii="黑体" w:hAnsi="黑体" w:eastAsia="黑体" w:cs="黑体"/>
          <w:bCs/>
          <w:kern w:val="2"/>
          <w:sz w:val="32"/>
          <w:szCs w:val="32"/>
          <w:lang w:eastAsia="zh-CN" w:bidi="ar-SA"/>
        </w:rPr>
        <w:t>办理流程</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申报主体登陆“i南山企业服务综合平台”（https://www.inanshan.org.cn/），网上提交项目申报材料；</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 xml:space="preserve">区企业发展服务中心受理申请，对申报材料进行形式性审核，区文化广电旅游体育局复审项目申报材料； </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区文化广电旅游体育局拟定资助计划；</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（四）区统计局对申报主体数据申报情况进行核查，区企业发展服务中心组织对申报主体的在地经营情况和不良信用记录等情况进行核查；</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（五）区企业发展服务中心将拟资助项目向社会公示5个工作日，对公示期满，无有效投诉的项目资助计划，</w:t>
      </w:r>
      <w:r>
        <w:rPr>
          <w:rFonts w:hint="eastAsia"/>
          <w:color w:val="000000" w:themeColor="text1"/>
          <w:highlight w:val="none"/>
          <w14:textFill>
            <w14:solidFill>
              <w14:schemeClr w14:val="tx1"/>
            </w14:solidFill>
          </w14:textFill>
        </w:rPr>
        <w:t>区文化广电旅游体育局</w:t>
      </w:r>
      <w:r>
        <w:rPr>
          <w:rFonts w:hint="eastAsia"/>
          <w:color w:val="000000" w:themeColor="text1"/>
          <w:highlight w:val="none"/>
          <w:lang w:val="en-US" w:eastAsia="zh-CN"/>
          <w14:textFill>
            <w14:solidFill>
              <w14:schemeClr w14:val="tx1"/>
            </w14:solidFill>
          </w14:textFill>
        </w:rPr>
        <w:t>再提交领导小组会议进行审议；</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color w:val="000000" w:themeColor="text1"/>
          <w:highlight w:val="none"/>
          <w14:textFill>
            <w14:solidFill>
              <w14:schemeClr w14:val="tx1"/>
            </w14:solidFill>
          </w14:textFill>
        </w:rPr>
      </w:pPr>
      <w:r>
        <w:rPr>
          <w:rFonts w:hint="eastAsia" w:ascii="仿宋_GB2312" w:eastAsia="仿宋_GB2312"/>
          <w:sz w:val="32"/>
          <w:szCs w:val="32"/>
          <w:lang w:eastAsia="zh-CN"/>
        </w:rPr>
        <w:t>（六）</w:t>
      </w:r>
      <w:r>
        <w:rPr>
          <w:rFonts w:hint="eastAsia"/>
          <w:color w:val="000000" w:themeColor="text1"/>
          <w:highlight w:val="none"/>
          <w14:textFill>
            <w14:solidFill>
              <w14:schemeClr w14:val="tx1"/>
            </w14:solidFill>
          </w14:textFill>
        </w:rPr>
        <w:t>经审议后，由区文化广电旅游体育局直接行文下达资金计划；</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color w:val="000000" w:themeColor="text1"/>
          <w:highlight w:val="none"/>
          <w14:textFill>
            <w14:solidFill>
              <w14:schemeClr w14:val="tx1"/>
            </w14:solidFill>
          </w14:textFill>
        </w:rPr>
      </w:pPr>
      <w:r>
        <w:rPr>
          <w:rFonts w:hint="eastAsia" w:cs="Times New Roman"/>
          <w:color w:val="000000" w:themeColor="text1"/>
          <w:kern w:val="2"/>
          <w:sz w:val="32"/>
          <w:szCs w:val="24"/>
          <w:highlight w:val="none"/>
          <w:lang w:val="en-US" w:eastAsia="zh-CN" w:bidi="ar-SA"/>
          <w14:textFill>
            <w14:solidFill>
              <w14:schemeClr w14:val="tx1"/>
            </w14:solidFill>
          </w14:textFill>
        </w:rPr>
        <w:t>（七）</w:t>
      </w:r>
      <w:r>
        <w:rPr>
          <w:rFonts w:hint="eastAsia" w:ascii="仿宋_GB2312" w:hAnsi="Times New Roman" w:eastAsia="仿宋_GB2312" w:cs="Times New Roman"/>
          <w:color w:val="000000" w:themeColor="text1"/>
          <w:kern w:val="2"/>
          <w:sz w:val="32"/>
          <w:szCs w:val="24"/>
          <w:highlight w:val="none"/>
          <w:lang w:val="en-US" w:eastAsia="zh-CN" w:bidi="ar-SA"/>
          <w14:textFill>
            <w14:solidFill>
              <w14:schemeClr w14:val="tx1"/>
            </w14:solidFill>
          </w14:textFill>
        </w:rPr>
        <w:t>区财政部门及时安排资金，区文化广电旅游体育局办理资金拨付手续。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color w:val="000000" w:themeColor="text1"/>
          <w:spacing w:val="4"/>
          <w:kern w:val="0"/>
          <w:sz w:val="32"/>
          <w:szCs w:val="32"/>
          <w:highlight w:val="none"/>
          <w14:textFill>
            <w14:solidFill>
              <w14:schemeClr w14:val="tx1"/>
            </w14:solidFill>
          </w14:textFill>
        </w:rPr>
      </w:pPr>
      <w:r>
        <w:rPr>
          <w:rFonts w:hint="eastAsia" w:hAnsi="黑体" w:eastAsia="黑体"/>
          <w:color w:val="000000" w:themeColor="text1"/>
          <w:sz w:val="32"/>
          <w:szCs w:val="32"/>
          <w:highlight w:val="none"/>
          <w:lang w:val="en-US" w:eastAsia="zh-CN"/>
          <w14:textFill>
            <w14:solidFill>
              <w14:schemeClr w14:val="tx1"/>
            </w14:solidFill>
          </w14:textFill>
        </w:rPr>
        <w:t>七</w:t>
      </w:r>
      <w:r>
        <w:rPr>
          <w:rFonts w:hint="eastAsia" w:hAnsi="黑体" w:eastAsia="黑体"/>
          <w:color w:val="000000" w:themeColor="text1"/>
          <w:sz w:val="32"/>
          <w:szCs w:val="32"/>
          <w:highlight w:val="none"/>
          <w14:textFill>
            <w14:solidFill>
              <w14:schemeClr w14:val="tx1"/>
            </w14:solidFill>
          </w14:textFill>
        </w:rPr>
        <w:t>、所需材料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000000" w:themeColor="text1"/>
          <w:spacing w:val="4"/>
          <w:kern w:val="0"/>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hAnsi="宋体" w:eastAsia="仿宋_GB2312" w:cs="宋体"/>
          <w:color w:val="000000" w:themeColor="text1"/>
          <w:spacing w:val="4"/>
          <w:kern w:val="0"/>
          <w:sz w:val="32"/>
          <w:szCs w:val="32"/>
          <w:highlight w:val="none"/>
          <w14:textFill>
            <w14:solidFill>
              <w14:schemeClr w14:val="tx1"/>
            </w14:solidFill>
          </w14:textFill>
        </w:rPr>
        <w:t>登录“i南山企业服务综合平台”（https://www.inanshan.org.cn/）在线填写《南山区促进产业高质量发展专项资金——区文化广电旅游体育局分项资金支持建设电竞场馆项目申请书》</w:t>
      </w:r>
      <w:r>
        <w:rPr>
          <w:rFonts w:hint="eastAsia" w:ascii="仿宋_GB2312" w:hAnsi="宋体" w:eastAsia="仿宋_GB2312" w:cs="宋体"/>
          <w:color w:val="000000" w:themeColor="text1"/>
          <w:spacing w:val="4"/>
          <w:kern w:val="0"/>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hAnsi="宋体" w:eastAsia="仿宋_GB2312" w:cs="宋体"/>
          <w:color w:val="000000" w:themeColor="text1"/>
          <w:spacing w:val="4"/>
          <w:kern w:val="0"/>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（二）统一社会信用代码证书（事业单位法人证书或社会组织登记证书）（原件彩色扫描成PDF文件上传）；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（三）法定代表人身份证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[原件（或复印件加盖</w:t>
      </w:r>
      <w:r>
        <w:rPr>
          <w:rFonts w:hint="eastAsia" w:ascii="仿宋_GB2312" w:eastAsia="仿宋_GB2312" w:cs="Times New Roman"/>
          <w:color w:val="000000" w:themeColor="text1"/>
          <w:sz w:val="32"/>
          <w:szCs w:val="32"/>
          <w:lang w:eastAsia="zh-CN"/>
          <w14:textFill>
            <w14:solidFill>
              <w14:schemeClr w14:val="tx1"/>
            </w14:solidFill>
          </w14:textFill>
        </w:rPr>
        <w:t>单位</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公章）彩色扫描上传]</w:t>
      </w:r>
      <w:r>
        <w:rPr>
          <w:rFonts w:hint="eastAsia" w:ascii="仿宋_GB2312"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（四）申报单位由税务部门开具的单位上年度纳税证明（</w:t>
      </w:r>
      <w:bookmarkStart w:id="0" w:name="_Hlk98161019"/>
      <w:r>
        <w:rPr>
          <w:rFonts w:hint="eastAsia" w:ascii="仿宋_GB2312" w:hAnsi="Times New Roman" w:eastAsia="仿宋_GB2312" w:cs="Times New Roman"/>
          <w:color w:val="000000" w:themeColor="text1"/>
          <w:sz w:val="32"/>
          <w:szCs w:val="32"/>
          <w14:textFill>
            <w14:solidFill>
              <w14:schemeClr w14:val="tx1"/>
            </w14:solidFill>
          </w14:textFill>
        </w:rPr>
        <w:t>上传税务系统下载带有税务机关红色印章的电子版，</w:t>
      </w:r>
      <w:bookmarkEnd w:id="0"/>
      <w:r>
        <w:rPr>
          <w:rFonts w:hint="eastAsia" w:ascii="仿宋_GB2312" w:hAnsi="Times New Roman" w:eastAsia="仿宋_GB2312" w:cs="Times New Roman"/>
          <w:color w:val="000000" w:themeColor="text1"/>
          <w:sz w:val="32"/>
          <w:szCs w:val="32"/>
          <w14:textFill>
            <w14:solidFill>
              <w14:schemeClr w14:val="tx1"/>
            </w14:solidFill>
          </w14:textFill>
        </w:rPr>
        <w:t>事业单位除外)；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五</w:t>
      </w:r>
      <w:r>
        <w:rPr>
          <w:rFonts w:hint="eastAsia" w:ascii="仿宋_GB2312" w:hAnsi="Times New Roman" w:eastAsia="仿宋_GB2312" w:cs="Times New Roman"/>
          <w:color w:val="000000" w:themeColor="text1"/>
          <w:sz w:val="32"/>
          <w:szCs w:val="32"/>
          <w14:textFill>
            <w14:solidFill>
              <w14:schemeClr w14:val="tx1"/>
            </w14:solidFill>
          </w14:textFill>
        </w:rPr>
        <w:t>）项目实际投入资金</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相关</w:t>
      </w:r>
      <w:r>
        <w:rPr>
          <w:rFonts w:hint="eastAsia" w:ascii="仿宋_GB2312" w:hAnsi="Times New Roman" w:eastAsia="仿宋_GB2312" w:cs="Times New Roman"/>
          <w:color w:val="000000" w:themeColor="text1"/>
          <w:sz w:val="32"/>
          <w:szCs w:val="32"/>
          <w14:textFill>
            <w14:solidFill>
              <w14:schemeClr w14:val="tx1"/>
            </w14:solidFill>
          </w14:textFill>
        </w:rPr>
        <w:t>合同、发票、银行往来凭证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[原件（或复印件加盖单位公章）彩色扫描成PDF文件上传]；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六</w:t>
      </w:r>
      <w:r>
        <w:rPr>
          <w:rFonts w:hint="eastAsia" w:ascii="仿宋_GB2312" w:hAnsi="Times New Roman" w:eastAsia="仿宋_GB2312" w:cs="Times New Roman"/>
          <w:color w:val="000000" w:themeColor="text1"/>
          <w:sz w:val="32"/>
          <w:szCs w:val="32"/>
          <w14:textFill>
            <w14:solidFill>
              <w14:schemeClr w14:val="tx1"/>
            </w14:solidFill>
          </w14:textFill>
        </w:rPr>
        <w:t>）租赁合同、发票、银行往来凭证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[原件（或复印件加盖单位公章）彩色扫描成PDF文件上传]；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七</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除以上资料，</w:t>
      </w:r>
      <w:r>
        <w:rPr>
          <w:rFonts w:hint="eastAsia" w:ascii="仿宋_GB2312" w:hAnsi="仿宋_GB2312" w:eastAsia="仿宋_GB2312" w:cs="仿宋_GB2312"/>
          <w:sz w:val="32"/>
          <w:szCs w:val="32"/>
          <w:lang w:val="en-US" w:eastAsia="zh-CN"/>
        </w:rPr>
        <w:t>电竞场馆项目</w:t>
      </w:r>
      <w:r>
        <w:rPr>
          <w:rFonts w:hint="eastAsia" w:ascii="仿宋_GB2312" w:hAnsi="仿宋_GB2312" w:eastAsia="仿宋_GB2312" w:cs="仿宋_GB2312"/>
          <w:sz w:val="32"/>
          <w:szCs w:val="32"/>
        </w:rPr>
        <w:t>按照其</w:t>
      </w:r>
      <w:r>
        <w:rPr>
          <w:rFonts w:hint="eastAsia" w:ascii="仿宋_GB2312" w:hAnsi="仿宋_GB2312" w:eastAsia="仿宋_GB2312" w:cs="仿宋_GB2312"/>
          <w:sz w:val="32"/>
          <w:szCs w:val="32"/>
          <w:lang w:val="en-US" w:eastAsia="zh-CN"/>
        </w:rPr>
        <w:t>所属</w:t>
      </w:r>
      <w:r>
        <w:rPr>
          <w:rFonts w:hint="eastAsia" w:ascii="仿宋_GB2312" w:hAnsi="仿宋_GB2312" w:eastAsia="仿宋_GB2312" w:cs="仿宋_GB2312"/>
          <w:sz w:val="32"/>
          <w:szCs w:val="32"/>
        </w:rPr>
        <w:t>类别需提交以下资料：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1.属于Ⅰ类的，须提供获评为市文化广电旅游体育局认证电竞场馆的证明材料</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[原件（或复印件加盖单位公章）彩色扫描成PDF文件上传]；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2.属于Ⅱ类的，须提供举办</w:t>
      </w:r>
      <w:r>
        <w:rPr>
          <w:rFonts w:hint="eastAsia" w:ascii="仿宋_GB2312" w:hAnsi="Times New Roman" w:eastAsia="仿宋_GB2312" w:cs="Times New Roman"/>
          <w:color w:val="000000" w:themeColor="text1"/>
          <w:sz w:val="32"/>
          <w:szCs w:val="32"/>
          <w14:textFill>
            <w14:solidFill>
              <w14:schemeClr w14:val="tx1"/>
            </w14:solidFill>
          </w14:textFill>
        </w:rPr>
        <w:t>2场以上国际性/全国性顶级职业赛事或</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5场以上</w:t>
      </w:r>
      <w:r>
        <w:rPr>
          <w:rFonts w:hint="eastAsia" w:ascii="仿宋_GB2312" w:hAnsi="Times New Roman" w:eastAsia="仿宋_GB2312" w:cs="Times New Roman"/>
          <w:color w:val="000000" w:themeColor="text1"/>
          <w:sz w:val="32"/>
          <w:szCs w:val="32"/>
          <w14:textFill>
            <w14:solidFill>
              <w14:schemeClr w14:val="tx1"/>
            </w14:solidFill>
          </w14:textFill>
        </w:rPr>
        <w:t>特色电竞赛事的证明材料</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[原件（或复印件加盖单位公章）彩色扫描成PDF文件上传]；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3.属于Ⅲ类的，须提供项目概况及照片等佐证材料（包括但不限于场馆总投资额、座位数、总面积、设施配套、功能用房）</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[原件（或复印件加盖单位公章）彩色扫描成PDF文件上传]；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八</w:t>
      </w:r>
      <w:r>
        <w:rPr>
          <w:rFonts w:hint="eastAsia" w:ascii="仿宋_GB2312" w:hAnsi="Times New Roman" w:eastAsia="仿宋_GB2312" w:cs="Times New Roman"/>
          <w:color w:val="000000" w:themeColor="text1"/>
          <w:sz w:val="32"/>
          <w:szCs w:val="32"/>
          <w14:textFill>
            <w14:solidFill>
              <w14:schemeClr w14:val="tx1"/>
            </w14:solidFill>
          </w14:textFill>
        </w:rPr>
        <w:t>）审核部门认为需要提供的其它材料[原件（</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或</w:t>
      </w:r>
      <w:r>
        <w:rPr>
          <w:rFonts w:hint="eastAsia" w:ascii="仿宋_GB2312" w:hAnsi="Times New Roman" w:eastAsia="仿宋_GB2312" w:cs="Times New Roman"/>
          <w:color w:val="000000" w:themeColor="text1"/>
          <w:sz w:val="32"/>
          <w:szCs w:val="32"/>
          <w14:textFill>
            <w14:solidFill>
              <w14:schemeClr w14:val="tx1"/>
            </w14:solidFill>
          </w14:textFill>
        </w:rPr>
        <w:t>复印件加盖单位公章）彩色扫描成PDF文件上传]。</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黑体" w:eastAsia="黑体" w:cs="Times New Roman"/>
          <w:color w:val="000000" w:themeColor="text1"/>
          <w:kern w:val="2"/>
          <w:sz w:val="32"/>
          <w:szCs w:val="32"/>
          <w:highlight w:val="none"/>
          <w:lang w:val="en-US" w:eastAsia="zh-CN"/>
          <w14:textFill>
            <w14:solidFill>
              <w14:schemeClr w14:val="tx1"/>
            </w14:solidFill>
          </w14:textFill>
        </w:rPr>
      </w:pPr>
      <w:r>
        <w:rPr>
          <w:rFonts w:hint="eastAsia" w:ascii="Times New Roman" w:hAnsi="黑体" w:eastAsia="黑体" w:cs="Times New Roman"/>
          <w:color w:val="000000" w:themeColor="text1"/>
          <w:kern w:val="2"/>
          <w:sz w:val="32"/>
          <w:szCs w:val="32"/>
          <w:highlight w:val="none"/>
          <w:lang w:val="en-US" w:eastAsia="zh-CN"/>
          <w14:textFill>
            <w14:solidFill>
              <w14:schemeClr w14:val="tx1"/>
            </w14:solidFill>
          </w14:textFill>
        </w:rPr>
        <w:t>八、申报时间和办理要求</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每年安排1-2次集中受理单位申请，具体受理时间以发布的申报通知为准。</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申报主体需按照</w:t>
      </w:r>
      <w:r>
        <w:rPr>
          <w:rFonts w:hint="eastAsia" w:ascii="仿宋_GB2312" w:hAnsi="仿宋" w:eastAsia="仿宋_GB2312" w:cs="Times New Roman"/>
          <w:color w:val="000000" w:themeColor="text1"/>
          <w:kern w:val="2"/>
          <w:sz w:val="32"/>
          <w:szCs w:val="32"/>
          <w:highlight w:val="none"/>
          <w14:textFill>
            <w14:solidFill>
              <w14:schemeClr w14:val="tx1"/>
            </w14:solidFill>
          </w14:textFill>
        </w:rPr>
        <w:t>区文化广电旅游体育局</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相关通知要求办理资金拨付手续。</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黑体" w:cs="Times New Roman"/>
          <w:color w:val="000000" w:themeColor="text1"/>
          <w:kern w:val="2"/>
          <w:sz w:val="32"/>
          <w:szCs w:val="32"/>
          <w:highlight w:val="none"/>
          <w14:textFill>
            <w14:solidFill>
              <w14:schemeClr w14:val="tx1"/>
            </w14:solidFill>
          </w14:textFill>
        </w:rPr>
      </w:pPr>
      <w:r>
        <w:rPr>
          <w:rFonts w:hint="eastAsia" w:ascii="Times New Roman" w:hAnsi="黑体" w:eastAsia="黑体" w:cs="Times New Roman"/>
          <w:color w:val="000000" w:themeColor="text1"/>
          <w:kern w:val="2"/>
          <w:sz w:val="32"/>
          <w:szCs w:val="32"/>
          <w:highlight w:val="none"/>
          <w:lang w:val="en-US" w:eastAsia="zh-CN"/>
          <w14:textFill>
            <w14:solidFill>
              <w14:schemeClr w14:val="tx1"/>
            </w14:solidFill>
          </w14:textFill>
        </w:rPr>
        <w:t>九</w:t>
      </w:r>
      <w:r>
        <w:rPr>
          <w:rFonts w:hint="eastAsia" w:ascii="Times New Roman" w:hAnsi="黑体" w:eastAsia="黑体" w:cs="Times New Roman"/>
          <w:color w:val="000000" w:themeColor="text1"/>
          <w:kern w:val="2"/>
          <w:sz w:val="32"/>
          <w:szCs w:val="32"/>
          <w:highlight w:val="none"/>
          <w14:textFill>
            <w14:solidFill>
              <w14:schemeClr w14:val="tx1"/>
            </w14:solidFill>
          </w14:textFill>
        </w:rPr>
        <w:t>、附则</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eastAsia="仿宋_GB2312"/>
          <w:color w:val="000000" w:themeColor="text1"/>
          <w:highlight w:val="none"/>
          <w14:textFill>
            <w14:solidFill>
              <w14:schemeClr w14:val="tx1"/>
            </w14:solidFill>
          </w14:textFill>
        </w:rPr>
      </w:pPr>
      <w:r>
        <w:rPr>
          <w:rFonts w:hint="eastAsia" w:ascii="仿宋_GB2312" w:hAnsi="仿宋" w:eastAsia="仿宋_GB2312" w:cs="Times New Roman"/>
          <w:color w:val="000000" w:themeColor="text1"/>
          <w:kern w:val="2"/>
          <w:sz w:val="32"/>
          <w:szCs w:val="32"/>
          <w:highlight w:val="none"/>
          <w14:textFill>
            <w14:solidFill>
              <w14:schemeClr w14:val="tx1"/>
            </w14:solidFill>
          </w14:textFill>
        </w:rPr>
        <w:t>本规程由南山区文化广电旅游体育局负责解释，自发布之日起施行。</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097515"/>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iOTU0NTc3ZTM1ZTYyZGY3YzYzMmZkODc4MjgyZWMifQ=="/>
  </w:docVars>
  <w:rsids>
    <w:rsidRoot w:val="00172A27"/>
    <w:rsid w:val="00007F6F"/>
    <w:rsid w:val="00024D3C"/>
    <w:rsid w:val="00031E90"/>
    <w:rsid w:val="00033CA7"/>
    <w:rsid w:val="00074783"/>
    <w:rsid w:val="0009294B"/>
    <w:rsid w:val="000965F4"/>
    <w:rsid w:val="000B0273"/>
    <w:rsid w:val="000B09BA"/>
    <w:rsid w:val="000D3AF5"/>
    <w:rsid w:val="000E5446"/>
    <w:rsid w:val="00115BCC"/>
    <w:rsid w:val="001421E0"/>
    <w:rsid w:val="00143A36"/>
    <w:rsid w:val="0015404E"/>
    <w:rsid w:val="001952D7"/>
    <w:rsid w:val="001B0C22"/>
    <w:rsid w:val="0020003E"/>
    <w:rsid w:val="0026218E"/>
    <w:rsid w:val="00275C4B"/>
    <w:rsid w:val="002E7D20"/>
    <w:rsid w:val="00396D2A"/>
    <w:rsid w:val="003A49D2"/>
    <w:rsid w:val="003F33E9"/>
    <w:rsid w:val="0040362C"/>
    <w:rsid w:val="004329C4"/>
    <w:rsid w:val="00456C09"/>
    <w:rsid w:val="00475747"/>
    <w:rsid w:val="00484F4E"/>
    <w:rsid w:val="0048721F"/>
    <w:rsid w:val="004C3649"/>
    <w:rsid w:val="005956B2"/>
    <w:rsid w:val="00595A1F"/>
    <w:rsid w:val="005C1AD0"/>
    <w:rsid w:val="005D048F"/>
    <w:rsid w:val="005D529D"/>
    <w:rsid w:val="005E6DED"/>
    <w:rsid w:val="006255F8"/>
    <w:rsid w:val="00651611"/>
    <w:rsid w:val="0070304A"/>
    <w:rsid w:val="00705AFF"/>
    <w:rsid w:val="00765457"/>
    <w:rsid w:val="00772729"/>
    <w:rsid w:val="007A67CC"/>
    <w:rsid w:val="007C0661"/>
    <w:rsid w:val="007D0365"/>
    <w:rsid w:val="007E2AAA"/>
    <w:rsid w:val="007E59AE"/>
    <w:rsid w:val="008058F8"/>
    <w:rsid w:val="00810CAC"/>
    <w:rsid w:val="00886129"/>
    <w:rsid w:val="00896F3C"/>
    <w:rsid w:val="008A06B8"/>
    <w:rsid w:val="008B0EB5"/>
    <w:rsid w:val="008C5A2F"/>
    <w:rsid w:val="008C75B3"/>
    <w:rsid w:val="008D3C58"/>
    <w:rsid w:val="00904B58"/>
    <w:rsid w:val="00920AE3"/>
    <w:rsid w:val="00977354"/>
    <w:rsid w:val="009944AF"/>
    <w:rsid w:val="00995D7C"/>
    <w:rsid w:val="009A0E64"/>
    <w:rsid w:val="009B0D2F"/>
    <w:rsid w:val="009B3AE0"/>
    <w:rsid w:val="009D57BC"/>
    <w:rsid w:val="009E2DAA"/>
    <w:rsid w:val="009F4297"/>
    <w:rsid w:val="00A271AA"/>
    <w:rsid w:val="00A82793"/>
    <w:rsid w:val="00AA3ECD"/>
    <w:rsid w:val="00AD6040"/>
    <w:rsid w:val="00AE206F"/>
    <w:rsid w:val="00AE260C"/>
    <w:rsid w:val="00B101C1"/>
    <w:rsid w:val="00B17BF3"/>
    <w:rsid w:val="00B22CDB"/>
    <w:rsid w:val="00B30736"/>
    <w:rsid w:val="00B42058"/>
    <w:rsid w:val="00B74DD6"/>
    <w:rsid w:val="00B77C53"/>
    <w:rsid w:val="00B803E6"/>
    <w:rsid w:val="00B91CA9"/>
    <w:rsid w:val="00BA5F30"/>
    <w:rsid w:val="00BC06DD"/>
    <w:rsid w:val="00BD6E4F"/>
    <w:rsid w:val="00BE7C30"/>
    <w:rsid w:val="00CA2CD5"/>
    <w:rsid w:val="00CA4770"/>
    <w:rsid w:val="00CD6F9A"/>
    <w:rsid w:val="00CE00CC"/>
    <w:rsid w:val="00CE1FF7"/>
    <w:rsid w:val="00CE6F5B"/>
    <w:rsid w:val="00CE7E06"/>
    <w:rsid w:val="00D13618"/>
    <w:rsid w:val="00D818FD"/>
    <w:rsid w:val="00DF10BB"/>
    <w:rsid w:val="00E040F9"/>
    <w:rsid w:val="00E102DA"/>
    <w:rsid w:val="00E1265B"/>
    <w:rsid w:val="00E23039"/>
    <w:rsid w:val="00E4544B"/>
    <w:rsid w:val="00EA5699"/>
    <w:rsid w:val="00EC4977"/>
    <w:rsid w:val="00ED5415"/>
    <w:rsid w:val="00F0380B"/>
    <w:rsid w:val="00F07B9B"/>
    <w:rsid w:val="00F07CA9"/>
    <w:rsid w:val="00F2135A"/>
    <w:rsid w:val="00F254EF"/>
    <w:rsid w:val="00F2602B"/>
    <w:rsid w:val="00F3450B"/>
    <w:rsid w:val="00F8077A"/>
    <w:rsid w:val="00F85813"/>
    <w:rsid w:val="00F95C5E"/>
    <w:rsid w:val="00FB46B8"/>
    <w:rsid w:val="00FB6C39"/>
    <w:rsid w:val="00FC26F6"/>
    <w:rsid w:val="00FD76D6"/>
    <w:rsid w:val="0381433E"/>
    <w:rsid w:val="06F83997"/>
    <w:rsid w:val="071274BF"/>
    <w:rsid w:val="095C7285"/>
    <w:rsid w:val="0D9E6986"/>
    <w:rsid w:val="0FE16FFE"/>
    <w:rsid w:val="104D08F5"/>
    <w:rsid w:val="119C505E"/>
    <w:rsid w:val="13F60B9E"/>
    <w:rsid w:val="153F61C4"/>
    <w:rsid w:val="1582093B"/>
    <w:rsid w:val="15AFCEE1"/>
    <w:rsid w:val="1606331B"/>
    <w:rsid w:val="168B0344"/>
    <w:rsid w:val="16F92E7F"/>
    <w:rsid w:val="17D73829"/>
    <w:rsid w:val="1A732849"/>
    <w:rsid w:val="1B616EF2"/>
    <w:rsid w:val="1CB4556D"/>
    <w:rsid w:val="1E395720"/>
    <w:rsid w:val="1E396257"/>
    <w:rsid w:val="1E9B000F"/>
    <w:rsid w:val="1FAD4DE8"/>
    <w:rsid w:val="25497358"/>
    <w:rsid w:val="25B5273A"/>
    <w:rsid w:val="2671676E"/>
    <w:rsid w:val="26BB3CAD"/>
    <w:rsid w:val="297C2862"/>
    <w:rsid w:val="2A0E4549"/>
    <w:rsid w:val="2AD2018B"/>
    <w:rsid w:val="2E811549"/>
    <w:rsid w:val="2F1A79DF"/>
    <w:rsid w:val="31FA3C53"/>
    <w:rsid w:val="350902DA"/>
    <w:rsid w:val="365F39E8"/>
    <w:rsid w:val="37241ABE"/>
    <w:rsid w:val="37B104F6"/>
    <w:rsid w:val="39352BD7"/>
    <w:rsid w:val="3AAE4B82"/>
    <w:rsid w:val="3B7A4A87"/>
    <w:rsid w:val="3D0C4E0B"/>
    <w:rsid w:val="3DD40188"/>
    <w:rsid w:val="4297329A"/>
    <w:rsid w:val="42D91274"/>
    <w:rsid w:val="431D4C7D"/>
    <w:rsid w:val="432C2634"/>
    <w:rsid w:val="44872FC9"/>
    <w:rsid w:val="44F468B0"/>
    <w:rsid w:val="453E44B5"/>
    <w:rsid w:val="462555FD"/>
    <w:rsid w:val="4A6807A1"/>
    <w:rsid w:val="4B421B95"/>
    <w:rsid w:val="4CE02D6C"/>
    <w:rsid w:val="4D78081D"/>
    <w:rsid w:val="4E92280E"/>
    <w:rsid w:val="503B30F8"/>
    <w:rsid w:val="532E6F91"/>
    <w:rsid w:val="587C4E16"/>
    <w:rsid w:val="58922085"/>
    <w:rsid w:val="5FDC05F2"/>
    <w:rsid w:val="64561B9C"/>
    <w:rsid w:val="6BA465DE"/>
    <w:rsid w:val="6D3414FD"/>
    <w:rsid w:val="6DDD3AD6"/>
    <w:rsid w:val="6EBA5551"/>
    <w:rsid w:val="72883F80"/>
    <w:rsid w:val="75516FBA"/>
    <w:rsid w:val="79733540"/>
    <w:rsid w:val="7A2B680C"/>
    <w:rsid w:val="7CBE1444"/>
    <w:rsid w:val="7D9C7CC2"/>
    <w:rsid w:val="7E5F0C02"/>
    <w:rsid w:val="7E9957F7"/>
    <w:rsid w:val="7EFD5849"/>
    <w:rsid w:val="7F741DC0"/>
    <w:rsid w:val="EECF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jc w:val="center"/>
      <w:outlineLvl w:val="0"/>
    </w:pPr>
    <w:rPr>
      <w:rFonts w:eastAsia="黑体"/>
      <w:bCs/>
      <w:kern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仿宋_GB2312"/>
      <w:sz w:val="32"/>
      <w:szCs w:val="24"/>
    </w:rPr>
  </w:style>
  <w:style w:type="paragraph" w:styleId="3">
    <w:name w:val="Body Text"/>
    <w:basedOn w:val="1"/>
    <w:unhideWhenUsed/>
    <w:qFormat/>
    <w:uiPriority w:val="99"/>
    <w:pPr>
      <w:spacing w:after="120"/>
    </w:pPr>
  </w:style>
  <w:style w:type="paragraph" w:styleId="5">
    <w:name w:val="annotation text"/>
    <w:basedOn w:val="1"/>
    <w:link w:val="17"/>
    <w:qFormat/>
    <w:uiPriority w:val="0"/>
    <w:pPr>
      <w:jc w:val="left"/>
    </w:pPr>
  </w:style>
  <w:style w:type="paragraph" w:styleId="6">
    <w:name w:val="Body Text Indent"/>
    <w:basedOn w:val="1"/>
    <w:qFormat/>
    <w:uiPriority w:val="0"/>
    <w:pPr>
      <w:adjustRightInd w:val="0"/>
      <w:snapToGrid w:val="0"/>
      <w:spacing w:line="300" w:lineRule="auto"/>
      <w:ind w:firstLine="720" w:firstLineChars="225"/>
    </w:pPr>
    <w:rPr>
      <w:rFonts w:ascii="仿宋_GB2312" w:eastAsia="仿宋_GB2312"/>
      <w:color w:val="000000"/>
      <w:sz w:val="32"/>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5"/>
    <w:next w:val="5"/>
    <w:link w:val="18"/>
    <w:qFormat/>
    <w:uiPriority w:val="0"/>
    <w:rPr>
      <w:b/>
      <w:bCs/>
    </w:rPr>
  </w:style>
  <w:style w:type="character" w:styleId="13">
    <w:name w:val="annotation reference"/>
    <w:basedOn w:val="12"/>
    <w:qFormat/>
    <w:uiPriority w:val="0"/>
    <w:rPr>
      <w:sz w:val="21"/>
      <w:szCs w:val="21"/>
    </w:rPr>
  </w:style>
  <w:style w:type="character" w:customStyle="1" w:styleId="14">
    <w:name w:val="font51"/>
    <w:basedOn w:val="12"/>
    <w:qFormat/>
    <w:uiPriority w:val="0"/>
    <w:rPr>
      <w:rFonts w:hint="eastAsia" w:ascii="宋体" w:hAnsi="宋体" w:eastAsia="宋体" w:cs="宋体"/>
      <w:color w:val="000000"/>
      <w:sz w:val="24"/>
      <w:szCs w:val="24"/>
      <w:u w:val="none"/>
    </w:rPr>
  </w:style>
  <w:style w:type="character" w:customStyle="1" w:styleId="15">
    <w:name w:val="页眉 字符"/>
    <w:basedOn w:val="12"/>
    <w:link w:val="8"/>
    <w:qFormat/>
    <w:uiPriority w:val="0"/>
    <w:rPr>
      <w:kern w:val="2"/>
      <w:sz w:val="18"/>
      <w:szCs w:val="18"/>
    </w:rPr>
  </w:style>
  <w:style w:type="paragraph" w:customStyle="1" w:styleId="16">
    <w:name w:val="列出段落1"/>
    <w:basedOn w:val="1"/>
    <w:qFormat/>
    <w:uiPriority w:val="34"/>
    <w:pPr>
      <w:ind w:firstLine="420" w:firstLineChars="200"/>
    </w:pPr>
    <w:rPr>
      <w:rFonts w:ascii="Calibri" w:hAnsi="Calibri" w:cs="宋体"/>
    </w:rPr>
  </w:style>
  <w:style w:type="character" w:customStyle="1" w:styleId="17">
    <w:name w:val="批注文字 字符"/>
    <w:basedOn w:val="12"/>
    <w:link w:val="5"/>
    <w:qFormat/>
    <w:uiPriority w:val="0"/>
    <w:rPr>
      <w:kern w:val="2"/>
      <w:sz w:val="21"/>
      <w:szCs w:val="24"/>
    </w:rPr>
  </w:style>
  <w:style w:type="character" w:customStyle="1" w:styleId="18">
    <w:name w:val="批注主题 字符"/>
    <w:basedOn w:val="17"/>
    <w:link w:val="10"/>
    <w:qFormat/>
    <w:uiPriority w:val="0"/>
    <w:rPr>
      <w:b/>
      <w:bCs/>
      <w:kern w:val="2"/>
      <w:sz w:val="21"/>
      <w:szCs w:val="24"/>
    </w:rPr>
  </w:style>
  <w:style w:type="character" w:customStyle="1" w:styleId="19">
    <w:name w:val="页脚 字符"/>
    <w:basedOn w:val="12"/>
    <w:link w:val="7"/>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2061</Words>
  <Characters>2185</Characters>
  <Lines>17</Lines>
  <Paragraphs>4</Paragraphs>
  <TotalTime>25</TotalTime>
  <ScaleCrop>false</ScaleCrop>
  <LinksUpToDate>false</LinksUpToDate>
  <CharactersWithSpaces>2186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2022-07-24T04:26:00Z</dcterms:created>
  <dc:creator>王榕</dc:creator>
  <cp:lastModifiedBy>杨璐源</cp:lastModifiedBy>
  <cp:lastPrinted>2024-10-25T06:33:00Z</cp:lastPrinted>
  <dcterms:modified xsi:type="dcterms:W3CDTF">2024-12-17T10:29:24Z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EF9918C2B2AD4632A741FC3D47AC93F8_13</vt:lpwstr>
  </property>
</Properties>
</file>