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outlineLvl w:val="0"/>
        <w:rPr>
          <w:rFonts w:hint="eastAsia" w:ascii="方正小标宋_GBK" w:hAnsi="宋体" w:eastAsia="方正小标宋_GBK"/>
          <w:sz w:val="44"/>
          <w:szCs w:val="44"/>
          <w:highlight w:val="none"/>
          <w:lang w:eastAsia="zh-CN"/>
        </w:rPr>
      </w:pPr>
    </w:p>
    <w:p>
      <w:pPr>
        <w:pageBreakBefore w:val="0"/>
        <w:kinsoku/>
        <w:wordWrap/>
        <w:overflowPunct/>
        <w:topLinePunct w:val="0"/>
        <w:autoSpaceDE/>
        <w:autoSpaceDN/>
        <w:bidi w:val="0"/>
        <w:spacing w:line="560" w:lineRule="exact"/>
        <w:jc w:val="center"/>
        <w:outlineLvl w:val="0"/>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pageBreakBefore w:val="0"/>
        <w:kinsoku/>
        <w:wordWrap/>
        <w:overflowPunct/>
        <w:topLinePunct w:val="0"/>
        <w:autoSpaceDE/>
        <w:autoSpaceDN/>
        <w:bidi w:val="0"/>
        <w:spacing w:line="560" w:lineRule="exact"/>
        <w:jc w:val="center"/>
        <w:outlineLvl w:val="0"/>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pPr>
      <w:r>
        <w:rPr>
          <w:rFonts w:hint="eastAsia" w:ascii="方正小标宋_GBK" w:hAnsi="宋体" w:eastAsia="方正小标宋_GBK"/>
          <w:sz w:val="44"/>
          <w:szCs w:val="44"/>
          <w:highlight w:val="none"/>
          <w:lang w:val="en-US" w:eastAsia="zh-CN"/>
        </w:rPr>
        <w:t xml:space="preserve"> </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p>
    <w:p>
      <w:pPr>
        <w:pageBreakBefore w:val="0"/>
        <w:kinsoku/>
        <w:wordWrap/>
        <w:overflowPunct/>
        <w:topLinePunct w:val="0"/>
        <w:autoSpaceDE/>
        <w:autoSpaceDN/>
        <w:bidi w:val="0"/>
        <w:spacing w:line="560" w:lineRule="exact"/>
        <w:jc w:val="center"/>
        <w:outlineLvl w:val="0"/>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_GBK"/>
          <w:color w:val="auto"/>
          <w:w w:val="95"/>
          <w:sz w:val="44"/>
          <w:szCs w:val="44"/>
          <w:lang w:val="en-US" w:eastAsia="zh-CN"/>
        </w:rPr>
        <w:t>2024年</w:t>
      </w:r>
      <w:r>
        <w:rPr>
          <w:rFonts w:hint="eastAsia" w:ascii="方正小标宋简体" w:hAnsi="方正小标宋简体" w:eastAsia="方正小标宋简体" w:cs="方正小标宋_GBK"/>
          <w:color w:val="auto"/>
          <w:w w:val="95"/>
          <w:sz w:val="44"/>
          <w:szCs w:val="44"/>
          <w:lang w:eastAsia="zh-CN"/>
        </w:rPr>
        <w:t>鼓励工业企业做大做强</w:t>
      </w:r>
      <w:r>
        <w:rPr>
          <w:rFonts w:hint="eastAsia" w:ascii="方正小标宋简体" w:hAnsi="方正小标宋简体" w:eastAsia="方正小标宋简体" w:cs="方正小标宋_GBK"/>
          <w:sz w:val="44"/>
          <w:szCs w:val="44"/>
          <w:lang w:eastAsia="zh-CN"/>
        </w:rPr>
        <w:t>项目</w:t>
      </w:r>
      <w:r>
        <w:rPr>
          <w:rFonts w:hint="eastAsia" w:ascii="方正小标宋简体" w:hAnsi="方正小标宋简体" w:eastAsia="方正小标宋简体" w:cs="方正小标宋简体"/>
          <w:color w:val="000000"/>
          <w:sz w:val="44"/>
          <w:szCs w:val="44"/>
          <w:highlight w:val="none"/>
          <w:lang w:val="en-US" w:eastAsia="zh-CN"/>
        </w:rPr>
        <w:t>操作规程</w:t>
      </w:r>
    </w:p>
    <w:p>
      <w:pPr>
        <w:pageBreakBefore w:val="0"/>
        <w:kinsoku/>
        <w:wordWrap/>
        <w:overflowPunct/>
        <w:topLinePunct w:val="0"/>
        <w:autoSpaceDE/>
        <w:autoSpaceDN/>
        <w:bidi w:val="0"/>
        <w:spacing w:line="560" w:lineRule="exact"/>
        <w:jc w:val="center"/>
        <w:rPr>
          <w:rFonts w:eastAsia="黑体"/>
          <w:color w:val="000000"/>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南山区工业企业培育工作，鼓励企业扎根南山、做大做强，推动辖区工业经济实现质的有效提升和量的合理增长，依据《南山区促进产业高质量发展专项资金管理办法》《南山区促进高端制造业发展专项扶持措施》等文件规定，制定本操作规程。</w:t>
      </w:r>
    </w:p>
    <w:p>
      <w:pPr>
        <w:pageBreakBefore w:val="0"/>
        <w:kinsoku/>
        <w:wordWrap/>
        <w:overflowPunct/>
        <w:topLinePunct w:val="0"/>
        <w:autoSpaceDE/>
        <w:autoSpaceDN/>
        <w:bidi w:val="0"/>
        <w:spacing w:line="560" w:lineRule="exact"/>
        <w:ind w:firstLine="640" w:firstLineChars="200"/>
        <w:outlineLvl w:val="0"/>
        <w:rPr>
          <w:rFonts w:hAnsi="仿宋" w:eastAsia="仿宋"/>
          <w:kern w:val="0"/>
          <w:sz w:val="32"/>
          <w:szCs w:val="32"/>
        </w:rPr>
      </w:pPr>
      <w:r>
        <w:rPr>
          <w:rFonts w:hint="eastAsia" w:hAnsi="黑体" w:eastAsia="黑体"/>
          <w:sz w:val="32"/>
          <w:szCs w:val="32"/>
        </w:rPr>
        <w:t>一、政策内容</w:t>
      </w:r>
    </w:p>
    <w:p>
      <w:pPr>
        <w:pageBreakBefore w:val="0"/>
        <w:widowControl/>
        <w:kinsoku/>
        <w:wordWrap/>
        <w:overflowPunct/>
        <w:topLinePunct w:val="0"/>
        <w:autoSpaceDE/>
        <w:autoSpaceDN/>
        <w:bidi w:val="0"/>
        <w:spacing w:line="560" w:lineRule="exact"/>
        <w:ind w:firstLine="640" w:firstLineChars="200"/>
        <w:outlineLvl w:val="0"/>
        <w:rPr>
          <w:rFonts w:hint="eastAsia" w:hAnsi="黑体" w:eastAsia="黑体"/>
          <w:sz w:val="32"/>
          <w:szCs w:val="32"/>
        </w:rPr>
      </w:pPr>
      <w:r>
        <w:rPr>
          <w:rFonts w:hint="eastAsia" w:ascii="仿宋_GB2312" w:hAnsi="仿宋_GB2312" w:eastAsia="仿宋_GB2312" w:cs="仿宋_GB2312"/>
          <w:sz w:val="32"/>
          <w:szCs w:val="32"/>
          <w:lang w:val="en-US" w:eastAsia="zh-CN"/>
        </w:rPr>
        <w:t>对上年度快报工业产值3亿元以上且达到一定增速、年报工业增加值大于零的规上工业企业（含市内跨区域分成企业，按分成后产值计算），按照不超过年报工业增加值新增量的2%给予资助，每家企业每年资助上限根据企业年报工业增加值规模分档设定，最高1亿元。非成本费用表企业以快报工业增加值代替年报工业增加值计算。</w:t>
      </w:r>
      <w:r>
        <w:rPr>
          <w:rFonts w:hint="eastAsia" w:hAnsi="黑体" w:eastAsia="黑体"/>
          <w:sz w:val="32"/>
          <w:szCs w:val="32"/>
        </w:rPr>
        <w:t xml:space="preserve">    </w:t>
      </w:r>
    </w:p>
    <w:p>
      <w:pPr>
        <w:pageBreakBefore w:val="0"/>
        <w:widowControl/>
        <w:kinsoku/>
        <w:wordWrap/>
        <w:overflowPunct/>
        <w:topLinePunct w:val="0"/>
        <w:autoSpaceDE/>
        <w:autoSpaceDN/>
        <w:bidi w:val="0"/>
        <w:spacing w:line="560" w:lineRule="exact"/>
        <w:ind w:firstLine="640" w:firstLineChars="200"/>
        <w:outlineLvl w:val="0"/>
        <w:rPr>
          <w:rFonts w:eastAsia="黑体"/>
          <w:sz w:val="32"/>
          <w:szCs w:val="32"/>
        </w:rPr>
      </w:pPr>
      <w:r>
        <w:rPr>
          <w:rFonts w:hint="eastAsia" w:hAnsi="黑体" w:eastAsia="黑体"/>
          <w:sz w:val="32"/>
          <w:szCs w:val="32"/>
        </w:rPr>
        <w:t>二、资助方式</w:t>
      </w:r>
    </w:p>
    <w:p>
      <w:pPr>
        <w:pageBreakBefore w:val="0"/>
        <w:widowControl/>
        <w:kinsoku/>
        <w:wordWrap/>
        <w:overflowPunct/>
        <w:topLinePunct w:val="0"/>
        <w:autoSpaceDE/>
        <w:autoSpaceDN/>
        <w:bidi w:val="0"/>
        <w:spacing w:line="560" w:lineRule="exact"/>
        <w:ind w:firstLine="537" w:firstLineChars="168"/>
        <w:rPr>
          <w:rFonts w:eastAsia="仿宋_GB2312"/>
          <w:sz w:val="32"/>
          <w:szCs w:val="32"/>
        </w:rPr>
      </w:pPr>
      <w:r>
        <w:rPr>
          <w:rFonts w:hint="eastAsia" w:eastAsia="仿宋_GB2312"/>
          <w:sz w:val="32"/>
          <w:szCs w:val="32"/>
        </w:rPr>
        <w:t>本项资助属于</w:t>
      </w:r>
      <w:r>
        <w:rPr>
          <w:rFonts w:hint="eastAsia" w:eastAsia="仿宋_GB2312"/>
          <w:sz w:val="32"/>
          <w:szCs w:val="32"/>
          <w:lang w:eastAsia="zh-CN"/>
        </w:rPr>
        <w:t>核准</w:t>
      </w:r>
      <w:r>
        <w:rPr>
          <w:rFonts w:hint="eastAsia" w:eastAsia="仿宋_GB2312"/>
          <w:sz w:val="32"/>
          <w:szCs w:val="32"/>
        </w:rPr>
        <w:t>类项目，资助资金的安排使用坚持公平、公开、公正的原则，实行自愿申报、科学决策和绩效评估的管理制度，采取无偿资助方式和事后补贴制，受资助项目无需验收。</w:t>
      </w:r>
    </w:p>
    <w:p>
      <w:pPr>
        <w:pageBreakBefore w:val="0"/>
        <w:kinsoku/>
        <w:wordWrap/>
        <w:overflowPunct/>
        <w:topLinePunct w:val="0"/>
        <w:autoSpaceDE/>
        <w:autoSpaceDN/>
        <w:bidi w:val="0"/>
        <w:spacing w:line="560" w:lineRule="exact"/>
        <w:ind w:firstLine="640" w:firstLineChars="200"/>
        <w:outlineLvl w:val="0"/>
        <w:rPr>
          <w:rFonts w:ascii="仿宋_GB2312" w:eastAsia="仿宋_GB2312"/>
          <w:kern w:val="0"/>
          <w:sz w:val="32"/>
          <w:szCs w:val="32"/>
        </w:rPr>
      </w:pPr>
      <w:r>
        <w:rPr>
          <w:rFonts w:hint="eastAsia" w:hAnsi="黑体" w:eastAsia="黑体"/>
          <w:sz w:val="32"/>
          <w:szCs w:val="32"/>
        </w:rPr>
        <w:t>三、资助标准</w:t>
      </w:r>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（一）对2024年全年快报工业产值大于3亿元，且2024年年报增加值大于0的规上工业企业，且全年快报工业产值增速达到一定要求的企业（增速要求根据企业规模分档设定），按照其2024年</w:t>
      </w:r>
      <w:r>
        <w:rPr>
          <w:rFonts w:hint="eastAsia" w:ascii="仿宋_GB2312" w:hAnsi="仿宋_GB2312" w:eastAsia="仿宋_GB2312" w:cs="仿宋_GB2312"/>
          <w:sz w:val="32"/>
          <w:szCs w:val="32"/>
          <w:lang w:val="en-US" w:eastAsia="zh-CN"/>
        </w:rPr>
        <w:t>年报工业增加值较</w:t>
      </w: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sz w:val="32"/>
          <w:szCs w:val="32"/>
          <w:lang w:val="en-US" w:eastAsia="zh-CN"/>
        </w:rPr>
        <w:t>年报工业增加值新增量的1.5%给予资助。</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（二）如企业在满足条件（一）的基础上，同时满足“2024年上半年快报工业产值同比增速达到一定要求（增速要求根据企业规模分档设定）”条件，则资助比例提高至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i w:val="0"/>
          <w:iCs w:val="0"/>
          <w:sz w:val="32"/>
          <w:szCs w:val="32"/>
          <w:highlight w:val="none"/>
          <w:lang w:val="en-US" w:eastAsia="zh-CN"/>
        </w:rPr>
        <w:t>规模分档设置、增速条件及资助比例如下表：</w:t>
      </w:r>
    </w:p>
    <w:tbl>
      <w:tblPr>
        <w:tblStyle w:val="7"/>
        <w:tblW w:w="5078" w:type="pct"/>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703"/>
        <w:gridCol w:w="1373"/>
        <w:gridCol w:w="1730"/>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2024年年报增加值</w:t>
            </w:r>
          </w:p>
        </w:tc>
        <w:tc>
          <w:tcPr>
            <w:tcW w:w="977"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2024年快报产值规模</w:t>
            </w:r>
          </w:p>
        </w:tc>
        <w:tc>
          <w:tcPr>
            <w:tcW w:w="788"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2024年快报产值增速</w:t>
            </w:r>
          </w:p>
        </w:tc>
        <w:tc>
          <w:tcPr>
            <w:tcW w:w="993"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2024年上半年快报产值增速</w:t>
            </w:r>
          </w:p>
        </w:tc>
        <w:tc>
          <w:tcPr>
            <w:tcW w:w="1517" w:type="pct"/>
            <w:tcBorders>
              <w:top w:val="single" w:color="000000" w:sz="4" w:space="0"/>
              <w:left w:val="single" w:color="000000" w:sz="4" w:space="0"/>
              <w:bottom w:val="single" w:color="000000" w:sz="4" w:space="0"/>
              <w:right w:val="single" w:color="000000" w:sz="4" w:space="0"/>
            </w:tcBorders>
            <w:shd w:val="clear" w:color="auto" w:fill="D7D7D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2024年年报增加值＞0</w:t>
            </w: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500亿元（含）以上</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5%（含）以上</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5%（含）以上</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5%以下</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100亿元（含）-500亿元（不含）</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%（含）以上</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%（含）以上</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%以下</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10亿元（含）-100亿元（不含）</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%（含）以上</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%（含）以上</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%以下</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3亿元（不含）-10亿元（不含）</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%（含）以上</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%（含）以上</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2"/>
                <w:szCs w:val="22"/>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%以下</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（2024年年报增加值-2023年年报增加值）*分成系数*</w:t>
            </w:r>
            <w:r>
              <w:rPr>
                <w:rStyle w:val="11"/>
                <w:lang w:val="en-US" w:eastAsia="zh-CN" w:bidi="ar"/>
              </w:rPr>
              <w:t>1.5%</w:t>
            </w:r>
          </w:p>
        </w:tc>
      </w:tr>
    </w:tbl>
    <w:p>
      <w:pPr>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（三）单个企业资助上限根据其2024年年报增加值分档设置。具体如下：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2024年年报增加值规模</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资助上限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100亿元（含）以上</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宋体" w:hAnsi="宋体" w:cs="宋体"/>
                <w:b w:val="0"/>
                <w:bCs w:val="0"/>
                <w:i w:val="0"/>
                <w:iCs w:val="0"/>
                <w:color w:val="000000"/>
                <w:kern w:val="0"/>
                <w:sz w:val="22"/>
                <w:szCs w:val="22"/>
                <w:u w:val="none"/>
                <w:lang w:val="en-US" w:eastAsia="zh-CN" w:bidi="ar"/>
              </w:rPr>
              <w:t>20</w:t>
            </w:r>
            <w:r>
              <w:rPr>
                <w:rFonts w:hint="eastAsia" w:ascii="宋体" w:hAnsi="宋体" w:eastAsia="宋体" w:cs="宋体"/>
                <w:b w:val="0"/>
                <w:bCs w:val="0"/>
                <w:i w:val="0"/>
                <w:iCs w:val="0"/>
                <w:color w:val="000000"/>
                <w:kern w:val="0"/>
                <w:sz w:val="22"/>
                <w:szCs w:val="22"/>
                <w:u w:val="none"/>
                <w:lang w:val="en-US" w:eastAsia="zh-CN" w:bidi="ar"/>
              </w:rPr>
              <w:t>亿元（含）-</w:t>
            </w:r>
            <w:r>
              <w:rPr>
                <w:rFonts w:hint="eastAsia" w:ascii="宋体" w:hAnsi="宋体" w:cs="宋体"/>
                <w:b w:val="0"/>
                <w:bCs w:val="0"/>
                <w:i w:val="0"/>
                <w:iCs w:val="0"/>
                <w:color w:val="000000"/>
                <w:kern w:val="0"/>
                <w:sz w:val="22"/>
                <w:szCs w:val="22"/>
                <w:u w:val="none"/>
                <w:lang w:val="en-US" w:eastAsia="zh-CN" w:bidi="ar"/>
              </w:rPr>
              <w:t>1</w:t>
            </w:r>
            <w:r>
              <w:rPr>
                <w:rFonts w:hint="eastAsia" w:ascii="宋体" w:hAnsi="宋体" w:eastAsia="宋体" w:cs="宋体"/>
                <w:b w:val="0"/>
                <w:bCs w:val="0"/>
                <w:i w:val="0"/>
                <w:iCs w:val="0"/>
                <w:color w:val="000000"/>
                <w:kern w:val="0"/>
                <w:sz w:val="22"/>
                <w:szCs w:val="22"/>
                <w:u w:val="none"/>
                <w:lang w:val="en-US" w:eastAsia="zh-CN" w:bidi="ar"/>
              </w:rPr>
              <w:t>00亿元（不含）</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b w:val="0"/>
                <w:bCs w:val="0"/>
                <w:sz w:val="21"/>
                <w:szCs w:val="21"/>
                <w:vertAlign w:val="baseline"/>
              </w:rPr>
            </w:pPr>
            <w:r>
              <w:rPr>
                <w:rFonts w:hint="eastAsia" w:ascii="宋体" w:hAnsi="宋体" w:cs="宋体"/>
                <w:b w:val="0"/>
                <w:bCs w:val="0"/>
                <w:i w:val="0"/>
                <w:iCs w:val="0"/>
                <w:color w:val="000000"/>
                <w:kern w:val="0"/>
                <w:sz w:val="22"/>
                <w:szCs w:val="22"/>
                <w:u w:val="none"/>
                <w:lang w:val="en-US" w:eastAsia="zh-CN" w:bidi="ar"/>
              </w:rPr>
              <w:t>10</w:t>
            </w:r>
            <w:r>
              <w:rPr>
                <w:rFonts w:hint="eastAsia" w:ascii="宋体" w:hAnsi="宋体" w:eastAsia="宋体" w:cs="宋体"/>
                <w:b w:val="0"/>
                <w:bCs w:val="0"/>
                <w:i w:val="0"/>
                <w:iCs w:val="0"/>
                <w:color w:val="000000"/>
                <w:kern w:val="0"/>
                <w:sz w:val="22"/>
                <w:szCs w:val="22"/>
                <w:u w:val="none"/>
                <w:lang w:val="en-US" w:eastAsia="zh-CN" w:bidi="ar"/>
              </w:rPr>
              <w:t>亿元（含）-</w:t>
            </w:r>
            <w:r>
              <w:rPr>
                <w:rFonts w:hint="eastAsia" w:ascii="宋体" w:hAnsi="宋体" w:cs="宋体"/>
                <w:b w:val="0"/>
                <w:bCs w:val="0"/>
                <w:i w:val="0"/>
                <w:iCs w:val="0"/>
                <w:color w:val="000000"/>
                <w:kern w:val="0"/>
                <w:sz w:val="22"/>
                <w:szCs w:val="22"/>
                <w:u w:val="none"/>
                <w:lang w:val="en-US" w:eastAsia="zh-CN" w:bidi="ar"/>
              </w:rPr>
              <w:t>20</w:t>
            </w:r>
            <w:r>
              <w:rPr>
                <w:rFonts w:hint="eastAsia" w:ascii="宋体" w:hAnsi="宋体" w:eastAsia="宋体" w:cs="宋体"/>
                <w:b w:val="0"/>
                <w:bCs w:val="0"/>
                <w:i w:val="0"/>
                <w:iCs w:val="0"/>
                <w:color w:val="000000"/>
                <w:kern w:val="0"/>
                <w:sz w:val="22"/>
                <w:szCs w:val="22"/>
                <w:u w:val="none"/>
                <w:lang w:val="en-US" w:eastAsia="zh-CN" w:bidi="ar"/>
              </w:rPr>
              <w:t>亿元（不含）</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b w:val="0"/>
                <w:bCs w:val="0"/>
                <w:sz w:val="21"/>
                <w:szCs w:val="21"/>
                <w:vertAlign w:val="baseline"/>
                <w:lang w:eastAsia="zh-CN"/>
              </w:rPr>
            </w:pPr>
            <w:r>
              <w:rPr>
                <w:rFonts w:hint="eastAsia" w:ascii="宋体" w:hAnsi="宋体" w:cs="宋体"/>
                <w:b w:val="0"/>
                <w:bCs w:val="0"/>
                <w:i w:val="0"/>
                <w:iCs w:val="0"/>
                <w:color w:val="000000"/>
                <w:kern w:val="0"/>
                <w:sz w:val="22"/>
                <w:szCs w:val="22"/>
                <w:u w:val="none"/>
                <w:lang w:val="en-US" w:eastAsia="zh-CN" w:bidi="ar"/>
              </w:rPr>
              <w:t>5</w:t>
            </w:r>
            <w:r>
              <w:rPr>
                <w:rFonts w:hint="eastAsia" w:ascii="宋体" w:hAnsi="宋体" w:eastAsia="宋体" w:cs="宋体"/>
                <w:b w:val="0"/>
                <w:bCs w:val="0"/>
                <w:i w:val="0"/>
                <w:iCs w:val="0"/>
                <w:color w:val="000000"/>
                <w:kern w:val="0"/>
                <w:sz w:val="22"/>
                <w:szCs w:val="22"/>
                <w:u w:val="none"/>
                <w:lang w:val="en-US" w:eastAsia="zh-CN" w:bidi="ar"/>
              </w:rPr>
              <w:t>亿元（含）-</w:t>
            </w:r>
            <w:r>
              <w:rPr>
                <w:rFonts w:hint="eastAsia" w:ascii="宋体" w:hAnsi="宋体" w:cs="宋体"/>
                <w:b w:val="0"/>
                <w:bCs w:val="0"/>
                <w:i w:val="0"/>
                <w:iCs w:val="0"/>
                <w:color w:val="000000"/>
                <w:kern w:val="0"/>
                <w:sz w:val="22"/>
                <w:szCs w:val="22"/>
                <w:u w:val="none"/>
                <w:lang w:val="en-US" w:eastAsia="zh-CN" w:bidi="ar"/>
              </w:rPr>
              <w:t>10</w:t>
            </w:r>
            <w:r>
              <w:rPr>
                <w:rFonts w:hint="eastAsia" w:ascii="宋体" w:hAnsi="宋体" w:eastAsia="宋体" w:cs="宋体"/>
                <w:b w:val="0"/>
                <w:bCs w:val="0"/>
                <w:i w:val="0"/>
                <w:iCs w:val="0"/>
                <w:color w:val="000000"/>
                <w:kern w:val="0"/>
                <w:sz w:val="22"/>
                <w:szCs w:val="22"/>
                <w:u w:val="none"/>
                <w:lang w:val="en-US" w:eastAsia="zh-CN" w:bidi="ar"/>
              </w:rPr>
              <w:t>亿元（不含）</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eastAsia" w:asciiTheme="majorEastAsia" w:hAnsiTheme="majorEastAsia" w:eastAsiaTheme="majorEastAsia" w:cstheme="majorEastAsia"/>
                <w:b w:val="0"/>
                <w:bCs w:val="0"/>
                <w:sz w:val="21"/>
                <w:szCs w:val="21"/>
                <w:vertAlign w:val="baseline"/>
              </w:rPr>
            </w:pPr>
            <w:r>
              <w:rPr>
                <w:rFonts w:hint="eastAsia" w:ascii="宋体" w:hAnsi="宋体" w:cs="宋体"/>
                <w:b w:val="0"/>
                <w:bCs w:val="0"/>
                <w:i w:val="0"/>
                <w:iCs w:val="0"/>
                <w:color w:val="000000"/>
                <w:kern w:val="0"/>
                <w:sz w:val="22"/>
                <w:szCs w:val="22"/>
                <w:u w:val="none"/>
                <w:lang w:val="en-US" w:eastAsia="zh-CN" w:bidi="ar"/>
              </w:rPr>
              <w:t>1</w:t>
            </w:r>
            <w:r>
              <w:rPr>
                <w:rFonts w:hint="eastAsia" w:ascii="宋体" w:hAnsi="宋体" w:eastAsia="宋体" w:cs="宋体"/>
                <w:b w:val="0"/>
                <w:bCs w:val="0"/>
                <w:i w:val="0"/>
                <w:iCs w:val="0"/>
                <w:color w:val="000000"/>
                <w:kern w:val="0"/>
                <w:sz w:val="22"/>
                <w:szCs w:val="22"/>
                <w:u w:val="none"/>
                <w:lang w:val="en-US" w:eastAsia="zh-CN" w:bidi="ar"/>
              </w:rPr>
              <w:t>亿元（含）-</w:t>
            </w:r>
            <w:r>
              <w:rPr>
                <w:rFonts w:hint="eastAsia" w:ascii="宋体" w:hAnsi="宋体" w:cs="宋体"/>
                <w:b w:val="0"/>
                <w:bCs w:val="0"/>
                <w:i w:val="0"/>
                <w:iCs w:val="0"/>
                <w:color w:val="000000"/>
                <w:kern w:val="0"/>
                <w:sz w:val="22"/>
                <w:szCs w:val="22"/>
                <w:u w:val="none"/>
                <w:lang w:val="en-US" w:eastAsia="zh-CN" w:bidi="ar"/>
              </w:rPr>
              <w:t>5</w:t>
            </w:r>
            <w:r>
              <w:rPr>
                <w:rFonts w:hint="eastAsia" w:ascii="宋体" w:hAnsi="宋体" w:eastAsia="宋体" w:cs="宋体"/>
                <w:b w:val="0"/>
                <w:bCs w:val="0"/>
                <w:i w:val="0"/>
                <w:iCs w:val="0"/>
                <w:color w:val="000000"/>
                <w:kern w:val="0"/>
                <w:sz w:val="22"/>
                <w:szCs w:val="22"/>
                <w:u w:val="none"/>
                <w:lang w:val="en-US" w:eastAsia="zh-CN" w:bidi="ar"/>
              </w:rPr>
              <w:t>亿元（不含）</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1亿元（不含）以下</w:t>
            </w:r>
          </w:p>
        </w:tc>
        <w:tc>
          <w:tcPr>
            <w:tcW w:w="4070" w:type="dxa"/>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baseline"/>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800万元</w:t>
            </w:r>
          </w:p>
        </w:tc>
      </w:tr>
    </w:tbl>
    <w:p>
      <w:pPr>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（四）对于新</w:t>
      </w:r>
      <w:r>
        <w:rPr>
          <w:rFonts w:hint="default" w:ascii="仿宋_GB2312" w:hAnsi="仿宋_GB2312" w:eastAsia="仿宋_GB2312" w:cs="仿宋_GB2312"/>
          <w:b w:val="0"/>
          <w:bCs w:val="0"/>
          <w:sz w:val="32"/>
          <w:szCs w:val="32"/>
          <w:lang w:val="en-US" w:eastAsia="zh-CN"/>
        </w:rPr>
        <w:t>入库</w:t>
      </w:r>
      <w:r>
        <w:rPr>
          <w:rFonts w:hint="eastAsia" w:ascii="仿宋_GB2312" w:hAnsi="仿宋_GB2312" w:eastAsia="仿宋_GB2312" w:cs="仿宋_GB2312"/>
          <w:b w:val="0"/>
          <w:bCs w:val="0"/>
          <w:sz w:val="32"/>
          <w:szCs w:val="32"/>
          <w:lang w:val="en-US" w:eastAsia="zh-CN"/>
        </w:rPr>
        <w:t>的企业，</w:t>
      </w:r>
      <w:r>
        <w:rPr>
          <w:rFonts w:hint="default" w:ascii="仿宋_GB2312" w:hAnsi="仿宋_GB2312" w:eastAsia="仿宋_GB2312" w:cs="仿宋_GB2312"/>
          <w:b w:val="0"/>
          <w:bCs w:val="0"/>
          <w:sz w:val="32"/>
          <w:szCs w:val="32"/>
          <w:lang w:val="en-US" w:eastAsia="zh-CN"/>
        </w:rPr>
        <w:t>在“统计直报系统”无</w:t>
      </w:r>
      <w:r>
        <w:rPr>
          <w:rFonts w:hint="eastAsia" w:ascii="仿宋_GB2312" w:hAnsi="仿宋_GB2312" w:eastAsia="仿宋_GB2312" w:cs="仿宋_GB2312"/>
          <w:b w:val="0"/>
          <w:bCs w:val="0"/>
          <w:sz w:val="32"/>
          <w:szCs w:val="32"/>
          <w:lang w:val="en-US" w:eastAsia="zh-CN"/>
        </w:rPr>
        <w:t>2023年同期快报产值</w:t>
      </w:r>
      <w:r>
        <w:rPr>
          <w:rFonts w:hint="default"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视为满足“同比增速条件”。</w:t>
      </w:r>
    </w:p>
    <w:p>
      <w:pPr>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（五）对于新</w:t>
      </w:r>
      <w:r>
        <w:rPr>
          <w:rFonts w:hint="default" w:ascii="仿宋_GB2312" w:hAnsi="仿宋_GB2312" w:eastAsia="仿宋_GB2312" w:cs="仿宋_GB2312"/>
          <w:b w:val="0"/>
          <w:bCs w:val="0"/>
          <w:sz w:val="32"/>
          <w:szCs w:val="32"/>
          <w:lang w:val="en-US" w:eastAsia="zh-CN"/>
        </w:rPr>
        <w:t>入库</w:t>
      </w:r>
      <w:r>
        <w:rPr>
          <w:rFonts w:hint="eastAsia" w:ascii="仿宋_GB2312" w:hAnsi="仿宋_GB2312" w:eastAsia="仿宋_GB2312" w:cs="仿宋_GB2312"/>
          <w:b w:val="0"/>
          <w:bCs w:val="0"/>
          <w:sz w:val="32"/>
          <w:szCs w:val="32"/>
          <w:lang w:val="en-US" w:eastAsia="zh-CN"/>
        </w:rPr>
        <w:t>的企业，</w:t>
      </w:r>
      <w:r>
        <w:rPr>
          <w:rFonts w:hint="default" w:ascii="仿宋_GB2312" w:hAnsi="仿宋_GB2312" w:eastAsia="仿宋_GB2312" w:cs="仿宋_GB2312"/>
          <w:b w:val="0"/>
          <w:bCs w:val="0"/>
          <w:sz w:val="32"/>
          <w:szCs w:val="32"/>
          <w:lang w:val="en-US" w:eastAsia="zh-CN"/>
        </w:rPr>
        <w:t>在“统计直报系统”</w:t>
      </w:r>
      <w:r>
        <w:rPr>
          <w:rFonts w:hint="eastAsia" w:ascii="仿宋_GB2312" w:hAnsi="仿宋_GB2312" w:eastAsia="仿宋_GB2312" w:cs="仿宋_GB2312"/>
          <w:b w:val="0"/>
          <w:bCs w:val="0"/>
          <w:sz w:val="32"/>
          <w:szCs w:val="32"/>
          <w:lang w:val="en-US" w:eastAsia="zh-CN"/>
        </w:rPr>
        <w:t>未报送2023年</w:t>
      </w:r>
      <w:r>
        <w:rPr>
          <w:rFonts w:hint="eastAsia" w:ascii="仿宋_GB2312" w:hAnsi="仿宋_GB2312" w:eastAsia="仿宋_GB2312" w:cs="仿宋_GB2312"/>
          <w:sz w:val="32"/>
          <w:szCs w:val="32"/>
          <w:highlight w:val="none"/>
          <w:lang w:val="en-US" w:eastAsia="zh-CN"/>
        </w:rPr>
        <w:t>B603</w:t>
      </w:r>
      <w:r>
        <w:rPr>
          <w:rFonts w:hint="eastAsia" w:ascii="仿宋_GB2312" w:hAnsi="仿宋_GB2312" w:eastAsia="仿宋_GB2312" w:cs="仿宋_GB2312"/>
          <w:sz w:val="32"/>
          <w:szCs w:val="32"/>
          <w:highlight w:val="none"/>
          <w:lang w:eastAsia="zh-CN"/>
        </w:rPr>
        <w:t>规模以上工业财务状况（成本费用）</w:t>
      </w:r>
      <w:r>
        <w:rPr>
          <w:rFonts w:hint="eastAsia" w:ascii="仿宋_GB2312" w:hAnsi="仿宋_GB2312" w:eastAsia="仿宋_GB2312" w:cs="仿宋_GB2312"/>
          <w:sz w:val="32"/>
          <w:szCs w:val="32"/>
          <w:highlight w:val="none"/>
          <w:lang w:val="en-US" w:eastAsia="zh-CN"/>
        </w:rPr>
        <w:t>表的</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视为2023年年报增加值为0。</w:t>
      </w:r>
    </w:p>
    <w:p>
      <w:pPr>
        <w:pageBreakBefore w:val="0"/>
        <w:numPr>
          <w:ilvl w:val="0"/>
          <w:numId w:val="0"/>
        </w:numPr>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lang w:val="en-US" w:eastAsia="zh-CN"/>
        </w:rPr>
        <w:t>（六）若资助金额计算结果为负数，</w:t>
      </w:r>
      <w:r>
        <w:rPr>
          <w:rFonts w:hint="eastAsia" w:ascii="仿宋_GB2312" w:hAnsi="仿宋_GB2312" w:eastAsia="仿宋_GB2312" w:cs="仿宋_GB2312"/>
          <w:b w:val="0"/>
          <w:bCs w:val="0"/>
          <w:sz w:val="32"/>
          <w:szCs w:val="32"/>
          <w:highlight w:val="none"/>
        </w:rPr>
        <w:t>资助金额按零计算。</w:t>
      </w:r>
    </w:p>
    <w:p>
      <w:pPr>
        <w:keepNext w:val="0"/>
        <w:keepLines w:val="0"/>
        <w:pageBreakBefore w:val="0"/>
        <w:numPr>
          <w:ilvl w:val="0"/>
          <w:numId w:val="0"/>
        </w:numPr>
        <w:kinsoku/>
        <w:wordWrap/>
        <w:overflowPunct/>
        <w:topLinePunct w:val="0"/>
        <w:autoSpaceDE/>
        <w:autoSpaceDN/>
        <w:bidi w:val="0"/>
        <w:spacing w:line="560" w:lineRule="exact"/>
        <w:ind w:left="0" w:leftChars="0" w:firstLine="628" w:firstLineChars="0"/>
        <w:rPr>
          <w:rFonts w:hint="eastAsia" w:ascii="仿宋_GB2312" w:hAnsi="黑体" w:eastAsia="仿宋_GB2312"/>
          <w:sz w:val="32"/>
          <w:szCs w:val="32"/>
          <w:lang w:eastAsia="zh-CN"/>
        </w:rPr>
      </w:pPr>
      <w:r>
        <w:rPr>
          <w:rFonts w:hint="eastAsia" w:ascii="仿宋_GB2312" w:hAnsi="仿宋_GB2312" w:eastAsia="仿宋_GB2312" w:cs="仿宋_GB2312"/>
          <w:b w:val="0"/>
          <w:bCs w:val="0"/>
          <w:sz w:val="32"/>
          <w:szCs w:val="32"/>
          <w:lang w:val="en-US" w:eastAsia="zh-CN"/>
        </w:rPr>
        <w:t>（七）</w:t>
      </w:r>
      <w:r>
        <w:rPr>
          <w:rFonts w:hint="eastAsia" w:ascii="仿宋_GB2312" w:hAnsi="黑体" w:eastAsia="仿宋_GB2312"/>
          <w:sz w:val="32"/>
          <w:szCs w:val="32"/>
          <w:lang w:eastAsia="zh-CN"/>
        </w:rPr>
        <w:t>因跨区生产经营造成产值</w:t>
      </w:r>
      <w:r>
        <w:rPr>
          <w:rFonts w:hint="eastAsia" w:ascii="仿宋_GB2312" w:hAnsi="黑体" w:eastAsia="仿宋_GB2312"/>
          <w:sz w:val="32"/>
          <w:szCs w:val="32"/>
          <w:lang w:val="en-US" w:eastAsia="zh-CN"/>
        </w:rPr>
        <w:t>/年报增加值</w:t>
      </w:r>
      <w:r>
        <w:rPr>
          <w:rFonts w:hint="eastAsia" w:ascii="仿宋_GB2312" w:hAnsi="黑体" w:eastAsia="仿宋_GB2312"/>
          <w:sz w:val="32"/>
          <w:szCs w:val="32"/>
          <w:lang w:eastAsia="zh-CN"/>
        </w:rPr>
        <w:t>数据在市内分成的工业企业，按其分成后归入我区的产值</w:t>
      </w:r>
      <w:r>
        <w:rPr>
          <w:rFonts w:hint="eastAsia" w:ascii="仿宋_GB2312" w:hAnsi="黑体" w:eastAsia="仿宋_GB2312"/>
          <w:sz w:val="32"/>
          <w:szCs w:val="32"/>
          <w:lang w:val="en-US" w:eastAsia="zh-CN"/>
        </w:rPr>
        <w:t>/年报增加值</w:t>
      </w:r>
      <w:r>
        <w:rPr>
          <w:rFonts w:hint="eastAsia" w:ascii="仿宋_GB2312" w:hAnsi="黑体" w:eastAsia="仿宋_GB2312"/>
          <w:sz w:val="32"/>
          <w:szCs w:val="32"/>
          <w:lang w:eastAsia="zh-CN"/>
        </w:rPr>
        <w:t>确定是否符合资助条件并计算资助金额。</w:t>
      </w:r>
    </w:p>
    <w:p>
      <w:pPr>
        <w:pageBreakBefore w:val="0"/>
        <w:numPr>
          <w:ilvl w:val="0"/>
          <w:numId w:val="0"/>
        </w:numPr>
        <w:kinsoku/>
        <w:wordWrap/>
        <w:overflowPunct/>
        <w:topLinePunct w:val="0"/>
        <w:autoSpaceDE/>
        <w:autoSpaceDN/>
        <w:bidi w:val="0"/>
        <w:spacing w:line="560" w:lineRule="exact"/>
        <w:ind w:left="0" w:leftChars="0" w:firstLine="628" w:firstLineChars="0"/>
        <w:rPr>
          <w:rFonts w:hint="eastAsia" w:ascii="仿宋_GB2312" w:hAnsi="黑体" w:eastAsia="仿宋_GB2312"/>
          <w:sz w:val="32"/>
          <w:szCs w:val="32"/>
          <w:lang w:eastAsia="zh-CN"/>
        </w:rPr>
      </w:pPr>
      <w:r>
        <w:rPr>
          <w:rFonts w:hint="eastAsia" w:ascii="仿宋_GB2312" w:hAnsi="黑体" w:eastAsia="仿宋_GB2312" w:cs="Times New Roman"/>
          <w:kern w:val="2"/>
          <w:sz w:val="32"/>
          <w:szCs w:val="32"/>
          <w:lang w:val="en-US" w:eastAsia="zh-CN" w:bidi="ar-SA"/>
        </w:rPr>
        <w:t>（八）</w:t>
      </w:r>
      <w:r>
        <w:rPr>
          <w:rFonts w:hint="eastAsia" w:ascii="仿宋_GB2312" w:hAnsi="黑体" w:eastAsia="仿宋_GB2312"/>
          <w:sz w:val="32"/>
          <w:szCs w:val="32"/>
          <w:lang w:eastAsia="zh-CN"/>
        </w:rPr>
        <w:t>满足资助条件但资助金额不满</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000元的企业，</w:t>
      </w:r>
      <w:r>
        <w:rPr>
          <w:rFonts w:hint="eastAsia" w:ascii="仿宋_GB2312" w:hAnsi="黑体" w:eastAsia="仿宋_GB2312"/>
          <w:sz w:val="32"/>
          <w:szCs w:val="32"/>
          <w:lang w:val="en-US" w:eastAsia="zh-CN"/>
        </w:rPr>
        <w:t>不予</w:t>
      </w:r>
      <w:r>
        <w:rPr>
          <w:rFonts w:hint="eastAsia" w:ascii="仿宋_GB2312" w:hAnsi="黑体" w:eastAsia="仿宋_GB2312"/>
          <w:sz w:val="32"/>
          <w:szCs w:val="32"/>
        </w:rPr>
        <w:t>资助</w:t>
      </w:r>
      <w:r>
        <w:rPr>
          <w:rFonts w:hint="eastAsia" w:ascii="仿宋_GB2312" w:hAnsi="黑体" w:eastAsia="仿宋_GB2312"/>
          <w:sz w:val="32"/>
          <w:szCs w:val="32"/>
          <w:lang w:eastAsia="zh-CN"/>
        </w:rPr>
        <w:t>。</w:t>
      </w:r>
    </w:p>
    <w:p>
      <w:pPr>
        <w:pageBreakBefore w:val="0"/>
        <w:widowControl/>
        <w:kinsoku/>
        <w:wordWrap/>
        <w:overflowPunct/>
        <w:topLinePunct w:val="0"/>
        <w:autoSpaceDE/>
        <w:autoSpaceDN/>
        <w:bidi w:val="0"/>
        <w:spacing w:line="560" w:lineRule="exact"/>
        <w:ind w:firstLine="537" w:firstLineChars="168"/>
        <w:outlineLvl w:val="0"/>
        <w:rPr>
          <w:rFonts w:hAnsi="黑体" w:eastAsia="黑体"/>
          <w:sz w:val="32"/>
          <w:szCs w:val="32"/>
        </w:rPr>
      </w:pPr>
      <w:r>
        <w:rPr>
          <w:rFonts w:hint="eastAsia" w:hAnsi="黑体" w:eastAsia="黑体"/>
          <w:sz w:val="32"/>
          <w:szCs w:val="32"/>
        </w:rPr>
        <w:t>四、申请条件</w:t>
      </w:r>
    </w:p>
    <w:p>
      <w:pPr>
        <w:pageBreakBefore w:val="0"/>
        <w:widowControl/>
        <w:kinsoku/>
        <w:wordWrap/>
        <w:overflowPunct/>
        <w:topLinePunct w:val="0"/>
        <w:autoSpaceDE/>
        <w:autoSpaceDN/>
        <w:bidi w:val="0"/>
        <w:spacing w:line="560" w:lineRule="exact"/>
        <w:ind w:firstLine="537" w:firstLineChars="168"/>
        <w:rPr>
          <w:rFonts w:hAnsi="仿宋" w:eastAsia="仿宋"/>
          <w:bCs/>
          <w:color w:val="000000"/>
          <w:sz w:val="32"/>
          <w:szCs w:val="32"/>
        </w:rPr>
      </w:pPr>
      <w:r>
        <w:rPr>
          <w:rFonts w:hint="eastAsia" w:hAnsi="仿宋" w:eastAsia="仿宋"/>
          <w:bCs/>
          <w:color w:val="000000"/>
          <w:sz w:val="32"/>
          <w:szCs w:val="32"/>
          <w:lang w:eastAsia="zh-CN"/>
        </w:rPr>
        <w:t>（一）</w:t>
      </w:r>
      <w:r>
        <w:rPr>
          <w:rFonts w:hint="eastAsia" w:hAnsi="仿宋" w:eastAsia="仿宋"/>
          <w:bCs/>
          <w:color w:val="000000"/>
          <w:sz w:val="32"/>
          <w:szCs w:val="32"/>
        </w:rPr>
        <w:t>申请本项资金资助的机构应符合以下基本条件：</w:t>
      </w:r>
    </w:p>
    <w:p>
      <w:pPr>
        <w:pageBreakBefore w:val="0"/>
        <w:widowControl/>
        <w:kinsoku/>
        <w:wordWrap/>
        <w:overflowPunct/>
        <w:topLinePunct w:val="0"/>
        <w:autoSpaceDE/>
        <w:autoSpaceDN/>
        <w:bidi w:val="0"/>
        <w:spacing w:line="560" w:lineRule="exact"/>
        <w:ind w:firstLine="537" w:firstLineChars="168"/>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1、统计关系在南山区的规上工业主体</w:t>
      </w:r>
      <w:r>
        <w:rPr>
          <w:rFonts w:hint="eastAsia" w:ascii="仿宋_GB2312" w:eastAsia="仿宋_GB2312"/>
          <w:sz w:val="32"/>
          <w:szCs w:val="32"/>
          <w:lang w:eastAsia="zh-CN"/>
        </w:rPr>
        <w:t>（</w:t>
      </w:r>
      <w:r>
        <w:rPr>
          <w:rFonts w:hint="eastAsia" w:ascii="仿宋_GB2312" w:eastAsia="仿宋_GB2312"/>
          <w:color w:val="000000"/>
          <w:sz w:val="32"/>
          <w:szCs w:val="32"/>
          <w:lang w:eastAsia="zh-CN"/>
        </w:rPr>
        <w:t>市内跨区域分成企业有部分产值纳入</w:t>
      </w:r>
      <w:r>
        <w:rPr>
          <w:rFonts w:hint="eastAsia" w:ascii="仿宋_GB2312" w:eastAsia="仿宋_GB2312"/>
          <w:sz w:val="32"/>
          <w:szCs w:val="32"/>
          <w:lang w:eastAsia="zh-CN"/>
        </w:rPr>
        <w:t>南山</w:t>
      </w:r>
      <w:r>
        <w:rPr>
          <w:rFonts w:hint="eastAsia" w:ascii="仿宋_GB2312" w:eastAsia="仿宋_GB2312"/>
          <w:color w:val="000000"/>
          <w:sz w:val="32"/>
          <w:szCs w:val="32"/>
          <w:lang w:eastAsia="zh-CN"/>
        </w:rPr>
        <w:t>区统计的，视为符合此条件</w:t>
      </w:r>
      <w:r>
        <w:rPr>
          <w:rFonts w:hint="eastAsia" w:ascii="仿宋_GB2312" w:eastAsia="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bidi="ar-SA"/>
        </w:rPr>
        <w:t>；</w:t>
      </w:r>
    </w:p>
    <w:p>
      <w:pPr>
        <w:pageBreakBefore w:val="0"/>
        <w:widowControl/>
        <w:kinsoku/>
        <w:wordWrap/>
        <w:overflowPunct/>
        <w:topLinePunct w:val="0"/>
        <w:autoSpaceDE/>
        <w:autoSpaceDN/>
        <w:bidi w:val="0"/>
        <w:spacing w:line="560" w:lineRule="exact"/>
        <w:ind w:firstLine="537" w:firstLineChars="168"/>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2、履行统计数据申报义务、守法经营、诚实守信、有规范的财务管理制度；</w:t>
      </w:r>
    </w:p>
    <w:p>
      <w:pPr>
        <w:pStyle w:val="6"/>
        <w:keepNext w:val="0"/>
        <w:keepLines w:val="0"/>
        <w:pageBreakBefore w:val="0"/>
        <w:kinsoku/>
        <w:wordWrap/>
        <w:overflowPunct/>
        <w:topLinePunct w:val="0"/>
        <w:autoSpaceDE/>
        <w:autoSpaceDN/>
        <w:bidi w:val="0"/>
        <w:spacing w:after="0" w:line="560"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3、应积极配合区委、区政府相关工作。</w:t>
      </w:r>
    </w:p>
    <w:p>
      <w:pPr>
        <w:pStyle w:val="6"/>
        <w:keepNext w:val="0"/>
        <w:keepLines w:val="0"/>
        <w:pageBreakBefore w:val="0"/>
        <w:kinsoku/>
        <w:wordWrap/>
        <w:overflowPunct/>
        <w:topLinePunct w:val="0"/>
        <w:autoSpaceDE/>
        <w:autoSpaceDN/>
        <w:bidi w:val="0"/>
        <w:spacing w:after="0"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（二）有下列情况之一的，本</w:t>
      </w:r>
      <w:r>
        <w:rPr>
          <w:rFonts w:hint="eastAsia" w:ascii="仿宋_GB2312" w:eastAsia="仿宋_GB2312"/>
          <w:sz w:val="32"/>
          <w:szCs w:val="32"/>
          <w:highlight w:val="none"/>
          <w:lang w:eastAsia="zh-CN"/>
        </w:rPr>
        <w:t>项目</w:t>
      </w:r>
      <w:r>
        <w:rPr>
          <w:rFonts w:hint="eastAsia" w:ascii="仿宋_GB2312" w:eastAsia="仿宋_GB2312"/>
          <w:sz w:val="32"/>
          <w:szCs w:val="32"/>
          <w:highlight w:val="none"/>
        </w:rPr>
        <w:t>资金不予资助：</w:t>
      </w:r>
    </w:p>
    <w:p>
      <w:pPr>
        <w:keepNext w:val="0"/>
        <w:keepLines w:val="0"/>
        <w:pageBreakBefore w:val="0"/>
        <w:widowControl/>
        <w:kinsoku/>
        <w:wordWrap/>
        <w:overflowPunct/>
        <w:topLinePunct w:val="0"/>
        <w:autoSpaceDE/>
        <w:autoSpaceDN/>
        <w:bidi w:val="0"/>
        <w:adjustRightInd w:val="0"/>
        <w:snapToGrid w:val="0"/>
        <w:spacing w:before="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pageBreakBefore w:val="0"/>
        <w:kinsoku/>
        <w:wordWrap/>
        <w:overflowPunct/>
        <w:topLinePunct w:val="0"/>
        <w:autoSpaceDE/>
        <w:autoSpaceDN/>
        <w:bidi w:val="0"/>
        <w:adjustRightInd w:val="0"/>
        <w:snapToGrid w:val="0"/>
        <w:spacing w:line="560" w:lineRule="exact"/>
        <w:ind w:firstLine="640" w:firstLineChars="200"/>
        <w:outlineLvl w:val="9"/>
        <w:rPr>
          <w:rFonts w:ascii="Times New Roman" w:hAnsi="Times New Roman" w:eastAsia="仿宋_GB2312" w:cs="Times New Roman"/>
          <w:sz w:val="32"/>
          <w:szCs w:val="32"/>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、提出资助申请后，申报主体在地统计关系发生变化，不再符合申报条件的。</w:t>
      </w:r>
    </w:p>
    <w:p>
      <w:pPr>
        <w:keepNext w:val="0"/>
        <w:keepLines w:val="0"/>
        <w:pageBreakBefore w:val="0"/>
        <w:widowControl/>
        <w:kinsoku/>
        <w:wordWrap/>
        <w:overflowPunct/>
        <w:topLinePunct w:val="0"/>
        <w:autoSpaceDE/>
        <w:autoSpaceDN/>
        <w:bidi w:val="0"/>
        <w:adjustRightInd w:val="0"/>
        <w:snapToGrid w:val="0"/>
        <w:spacing w:before="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-鼓励工业企业做大做强项目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局复审申报材料；</w:t>
      </w:r>
    </w:p>
    <w:p>
      <w:pPr>
        <w:keepNext w:val="0"/>
        <w:keepLines w:val="0"/>
        <w:pageBreakBefore w:val="0"/>
        <w:widowControl/>
        <w:kinsoku/>
        <w:wordWrap/>
        <w:overflowPunct/>
        <w:topLinePunct w:val="0"/>
        <w:autoSpaceDE/>
        <w:autoSpaceDN/>
        <w:bidi w:val="0"/>
        <w:spacing w:before="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区工业和信息化局拟定项目资助计划；</w:t>
      </w:r>
    </w:p>
    <w:p>
      <w:pPr>
        <w:keepNext w:val="0"/>
        <w:keepLines w:val="0"/>
        <w:pageBreakBefore w:val="0"/>
        <w:widowControl/>
        <w:kinsoku/>
        <w:wordWrap/>
        <w:overflowPunct/>
        <w:topLinePunct w:val="0"/>
        <w:autoSpaceDE/>
        <w:autoSpaceDN/>
        <w:bidi w:val="0"/>
        <w:spacing w:before="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的不良信用记录等情况进行核查</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对公示期满，无有效投诉的项目资助计划，区工业和信息化局统一对</w:t>
      </w:r>
      <w:r>
        <w:rPr>
          <w:rFonts w:hint="eastAsia" w:ascii="仿宋_GB2312" w:eastAsia="仿宋_GB2312"/>
          <w:sz w:val="32"/>
          <w:szCs w:val="32"/>
          <w:highlight w:val="none"/>
          <w:lang w:eastAsia="zh-CN"/>
        </w:rPr>
        <w:t>本项目</w:t>
      </w:r>
      <w:r>
        <w:rPr>
          <w:rFonts w:hint="eastAsia" w:ascii="仿宋_GB2312" w:hAnsi="宋体" w:eastAsia="仿宋_GB2312"/>
          <w:sz w:val="32"/>
          <w:szCs w:val="32"/>
          <w:highlight w:val="none"/>
          <w:lang w:eastAsia="zh-CN"/>
        </w:rPr>
        <w:t>按照相应审核程序提交区促进产业高质量发展专项资金领导小组会议审议</w:t>
      </w:r>
      <w:r>
        <w:rPr>
          <w:rFonts w:hint="eastAsia" w:ascii="仿宋_GB2312" w:eastAsia="仿宋_GB2312"/>
          <w:sz w:val="32"/>
          <w:szCs w:val="32"/>
          <w:highlight w:val="none"/>
          <w:lang w:eastAsia="zh-CN"/>
        </w:rPr>
        <w:t>；</w:t>
      </w:r>
    </w:p>
    <w:p>
      <w:pPr>
        <w:keepNext w:val="0"/>
        <w:keepLines w:val="0"/>
        <w:pageBreakBefore w:val="0"/>
        <w:widowControl/>
        <w:kinsoku/>
        <w:wordWrap/>
        <w:overflowPunct/>
        <w:topLinePunct w:val="0"/>
        <w:autoSpaceDE/>
        <w:autoSpaceDN/>
        <w:bidi w:val="0"/>
        <w:spacing w:before="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工业和信息化局行文</w:t>
      </w:r>
      <w:r>
        <w:rPr>
          <w:rFonts w:hint="eastAsia" w:ascii="仿宋_GB2312" w:eastAsia="仿宋_GB2312"/>
          <w:sz w:val="32"/>
          <w:szCs w:val="32"/>
          <w:highlight w:val="none"/>
          <w:lang w:eastAsia="zh-CN"/>
        </w:rPr>
        <w:t>下达资金计划；</w:t>
      </w:r>
    </w:p>
    <w:p>
      <w:pPr>
        <w:pageBreakBefore w:val="0"/>
        <w:widowControl/>
        <w:kinsoku/>
        <w:wordWrap/>
        <w:overflowPunct/>
        <w:topLinePunct w:val="0"/>
        <w:autoSpaceDE/>
        <w:autoSpaceDN/>
        <w:bidi w:val="0"/>
        <w:spacing w:line="560" w:lineRule="exact"/>
        <w:ind w:firstLine="640" w:firstLineChars="200"/>
        <w:outlineLvl w:val="9"/>
        <w:rPr>
          <w:rFonts w:ascii="仿宋_GB2312" w:hAnsi="宋体" w:eastAsia="仿宋_GB2312"/>
          <w:sz w:val="32"/>
          <w:szCs w:val="32"/>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eastAsia="仿宋_GB2312"/>
          <w:sz w:val="32"/>
          <w:szCs w:val="32"/>
          <w:highlight w:val="none"/>
          <w:lang w:eastAsia="zh-CN"/>
        </w:rPr>
        <w:t>对受理项目</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before="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pStyle w:val="6"/>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sz w:val="32"/>
          <w:szCs w:val="32"/>
          <w:highlight w:val="red"/>
          <w:lang w:eastAsia="zh-CN"/>
        </w:rPr>
      </w:pPr>
      <w:r>
        <w:rPr>
          <w:rFonts w:hint="eastAsia" w:ascii="仿宋_GB2312"/>
          <w:sz w:val="32"/>
          <w:szCs w:val="32"/>
          <w:highlight w:val="none"/>
          <w:lang w:eastAsia="zh-CN"/>
        </w:rPr>
        <w:t>（四）</w:t>
      </w:r>
      <w:r>
        <w:rPr>
          <w:rFonts w:hint="eastAsia" w:eastAsia="仿宋_GB2312"/>
          <w:sz w:val="32"/>
          <w:szCs w:val="32"/>
          <w:lang w:val="en-US" w:eastAsia="zh-CN"/>
        </w:rPr>
        <w:t>202</w:t>
      </w:r>
      <w:r>
        <w:rPr>
          <w:rFonts w:hint="eastAsia"/>
          <w:sz w:val="32"/>
          <w:szCs w:val="32"/>
          <w:lang w:val="en-US" w:eastAsia="zh-CN"/>
        </w:rPr>
        <w:t>4</w:t>
      </w:r>
      <w:r>
        <w:rPr>
          <w:rFonts w:hint="eastAsia" w:eastAsia="仿宋_GB2312"/>
          <w:sz w:val="32"/>
          <w:szCs w:val="32"/>
          <w:lang w:val="en-US" w:eastAsia="zh-CN"/>
        </w:rPr>
        <w:t>年1-</w:t>
      </w:r>
      <w:r>
        <w:rPr>
          <w:rFonts w:hint="eastAsia"/>
          <w:sz w:val="32"/>
          <w:szCs w:val="32"/>
          <w:lang w:val="en-US" w:eastAsia="zh-CN"/>
        </w:rPr>
        <w:t>6</w:t>
      </w:r>
      <w:r>
        <w:rPr>
          <w:rFonts w:hint="eastAsia" w:eastAsia="仿宋_GB2312"/>
          <w:sz w:val="32"/>
          <w:szCs w:val="32"/>
          <w:lang w:val="en-US" w:eastAsia="zh-CN"/>
        </w:rPr>
        <w:t>月、1-</w:t>
      </w:r>
      <w:r>
        <w:rPr>
          <w:rFonts w:hint="eastAsia"/>
          <w:sz w:val="32"/>
          <w:szCs w:val="32"/>
          <w:lang w:val="en-US" w:eastAsia="zh-CN"/>
        </w:rPr>
        <w:t>12</w:t>
      </w:r>
      <w:r>
        <w:rPr>
          <w:rFonts w:hint="eastAsia" w:eastAsia="仿宋_GB2312"/>
          <w:sz w:val="32"/>
          <w:szCs w:val="32"/>
          <w:lang w:val="en-US" w:eastAsia="zh-CN"/>
        </w:rPr>
        <w:t>月</w:t>
      </w:r>
      <w:r>
        <w:rPr>
          <w:rFonts w:hint="eastAsia" w:eastAsia="仿宋_GB2312"/>
          <w:sz w:val="32"/>
          <w:szCs w:val="32"/>
          <w:highlight w:val="none"/>
          <w:lang w:val="en-US" w:eastAsia="zh-CN"/>
        </w:rPr>
        <w:t>“工业产销总值及主要产品产量表（即204-1表）</w:t>
      </w:r>
      <w:r>
        <w:rPr>
          <w:rFonts w:hint="eastAsia" w:ascii="仿宋_GB2312" w:hAnsi="宋体" w:eastAsia="仿宋_GB2312" w:cs="宋体"/>
          <w:sz w:val="32"/>
          <w:szCs w:val="32"/>
          <w:lang w:eastAsia="zh-CN"/>
        </w:rPr>
        <w:t>[</w:t>
      </w:r>
      <w:r>
        <w:rPr>
          <w:rFonts w:hint="default"/>
          <w:sz w:val="32"/>
          <w:szCs w:val="32"/>
          <w:lang w:val="en-US" w:eastAsia="zh-CN"/>
        </w:rPr>
        <w:t>“</w:t>
      </w:r>
      <w:r>
        <w:rPr>
          <w:rFonts w:hint="eastAsia" w:eastAsia="仿宋_GB2312"/>
          <w:sz w:val="32"/>
          <w:szCs w:val="32"/>
          <w:lang w:val="en-US" w:eastAsia="zh-CN"/>
        </w:rPr>
        <w:t>统计联网直报平台”下载</w:t>
      </w:r>
      <w:r>
        <w:rPr>
          <w:rFonts w:hint="eastAsia"/>
          <w:sz w:val="32"/>
          <w:szCs w:val="32"/>
          <w:lang w:val="en-US" w:eastAsia="zh-CN"/>
        </w:rPr>
        <w:t>，原件（或复印件加盖单位公章）彩色扫描成PDF文件上传</w:t>
      </w:r>
      <w:r>
        <w:rPr>
          <w:rFonts w:hint="eastAsia" w:ascii="仿宋_GB2312" w:hAnsi="仿宋_GB2312" w:cs="仿宋_GB2312"/>
          <w:sz w:val="32"/>
          <w:szCs w:val="32"/>
          <w:lang w:val="en-US" w:eastAsia="zh-CN"/>
        </w:rPr>
        <w:t>]</w:t>
      </w:r>
      <w:r>
        <w:rPr>
          <w:rFonts w:hint="eastAsia" w:ascii="仿宋_GB2312" w:hAnsi="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lang w:val="en-US" w:eastAsia="zh-CN"/>
        </w:rPr>
        <w:t>2023年、2024年年报增加值台账[模板见附件1、附件2，加盖公章后上传。填报数据需与</w:t>
      </w:r>
      <w:r>
        <w:rPr>
          <w:rFonts w:hint="eastAsia" w:ascii="仿宋_GB2312" w:hAnsi="仿宋_GB2312" w:eastAsia="仿宋_GB2312" w:cs="仿宋_GB2312"/>
          <w:sz w:val="32"/>
          <w:szCs w:val="32"/>
          <w:highlight w:val="none"/>
          <w:lang w:eastAsia="zh-CN"/>
        </w:rPr>
        <w:t>“统计联网直报平台”下载的2023年</w:t>
      </w:r>
      <w:r>
        <w:rPr>
          <w:rFonts w:hint="eastAsia" w:ascii="仿宋_GB2312" w:hAnsi="仿宋_GB2312" w:eastAsia="仿宋_GB2312" w:cs="仿宋_GB2312"/>
          <w:sz w:val="32"/>
          <w:szCs w:val="32"/>
          <w:highlight w:val="none"/>
          <w:lang w:val="en-US" w:eastAsia="zh-CN"/>
        </w:rPr>
        <w:t>B603</w:t>
      </w:r>
      <w:r>
        <w:rPr>
          <w:rFonts w:hint="eastAsia" w:ascii="仿宋_GB2312" w:hAnsi="仿宋_GB2312" w:eastAsia="仿宋_GB2312" w:cs="仿宋_GB2312"/>
          <w:sz w:val="32"/>
          <w:szCs w:val="32"/>
          <w:highlight w:val="none"/>
          <w:lang w:eastAsia="zh-CN"/>
        </w:rPr>
        <w:t>规模以上工业财务状况（成本费用）</w:t>
      </w:r>
      <w:r>
        <w:rPr>
          <w:rFonts w:hint="eastAsia" w:ascii="仿宋_GB2312" w:hAnsi="仿宋_GB2312" w:eastAsia="仿宋_GB2312" w:cs="仿宋_GB2312"/>
          <w:sz w:val="32"/>
          <w:szCs w:val="32"/>
          <w:highlight w:val="none"/>
          <w:lang w:val="en-US" w:eastAsia="zh-CN"/>
        </w:rPr>
        <w:t>表、2024年B103</w:t>
      </w:r>
      <w:r>
        <w:rPr>
          <w:rFonts w:hint="eastAsia" w:ascii="仿宋_GB2312" w:hAnsi="仿宋_GB2312" w:eastAsia="仿宋_GB2312" w:cs="仿宋_GB2312"/>
          <w:sz w:val="32"/>
          <w:szCs w:val="32"/>
          <w:highlight w:val="none"/>
          <w:lang w:eastAsia="zh-CN"/>
        </w:rPr>
        <w:t>规模以上工业财务状况（成本费用）</w:t>
      </w:r>
      <w:r>
        <w:rPr>
          <w:rFonts w:hint="eastAsia" w:ascii="仿宋_GB2312" w:hAnsi="仿宋_GB2312" w:eastAsia="仿宋_GB2312" w:cs="仿宋_GB2312"/>
          <w:sz w:val="32"/>
          <w:szCs w:val="32"/>
          <w:highlight w:val="none"/>
          <w:lang w:val="en-US" w:eastAsia="zh-CN"/>
        </w:rPr>
        <w:t>表保持一致]；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仿宋_GB2312"/>
          <w:sz w:val="32"/>
          <w:szCs w:val="32"/>
          <w:highlight w:val="none"/>
          <w:lang w:eastAsia="zh-CN"/>
        </w:rPr>
        <w:t>（六）</w:t>
      </w:r>
      <w:r>
        <w:rPr>
          <w:rFonts w:hint="eastAsia" w:eastAsia="仿宋_GB2312"/>
          <w:sz w:val="32"/>
          <w:szCs w:val="32"/>
        </w:rPr>
        <w:t>其他与项目有关的说明材料。</w:t>
      </w:r>
    </w:p>
    <w:p>
      <w:pPr>
        <w:keepNext w:val="0"/>
        <w:keepLines w:val="0"/>
        <w:pageBreakBefore w:val="0"/>
        <w:widowControl/>
        <w:kinsoku/>
        <w:wordWrap/>
        <w:overflowPunct/>
        <w:topLinePunct w:val="0"/>
        <w:autoSpaceDE/>
        <w:autoSpaceDN/>
        <w:bidi w:val="0"/>
        <w:adjustRightInd/>
        <w:snapToGrid/>
        <w:spacing w:before="0" w:line="560" w:lineRule="exact"/>
        <w:ind w:left="0" w:leftChars="0" w:right="0" w:rightChars="0" w:firstLine="610" w:firstLineChars="200"/>
        <w:contextualSpacing/>
        <w:textAlignment w:val="auto"/>
        <w:outlineLvl w:val="9"/>
        <w:rPr>
          <w:rFonts w:hint="eastAsia" w:ascii="仿宋_GB2312" w:eastAsia="仿宋_GB2312"/>
          <w:b/>
          <w:bCs/>
          <w:color w:val="000000"/>
          <w:w w:val="95"/>
          <w:sz w:val="32"/>
          <w:szCs w:val="32"/>
          <w:highlight w:val="none"/>
        </w:rPr>
      </w:pPr>
      <w:r>
        <w:rPr>
          <w:rFonts w:hint="eastAsia" w:ascii="仿宋_GB2312" w:eastAsia="仿宋_GB2312"/>
          <w:b/>
          <w:bCs/>
          <w:color w:val="000000"/>
          <w:w w:val="95"/>
          <w:sz w:val="32"/>
          <w:szCs w:val="32"/>
          <w:highlight w:val="none"/>
        </w:rPr>
        <w:t>备注：本项目无需提交纸质件</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区工业和信息化局安排</w:t>
      </w:r>
      <w:r>
        <w:rPr>
          <w:rFonts w:hint="eastAsia" w:ascii="仿宋_GB2312" w:hAnsi="仿宋_GB2312" w:eastAsia="仿宋_GB2312" w:cs="仿宋_GB2312"/>
          <w:sz w:val="32"/>
          <w:szCs w:val="32"/>
          <w:lang w:val="en-US" w:eastAsia="zh-CN"/>
        </w:rPr>
        <w:t>1-2次</w:t>
      </w:r>
      <w:r>
        <w:rPr>
          <w:rFonts w:hint="eastAsia" w:ascii="仿宋_GB2312" w:hAnsi="仿宋_GB2312" w:eastAsia="仿宋_GB2312" w:cs="仿宋_GB2312"/>
          <w:sz w:val="32"/>
          <w:szCs w:val="32"/>
        </w:rPr>
        <w:t>受理企业申请（具体时间</w:t>
      </w:r>
      <w:r>
        <w:rPr>
          <w:rFonts w:hint="eastAsia" w:ascii="仿宋_GB2312" w:hAnsi="仿宋_GB2312" w:eastAsia="仿宋_GB2312" w:cs="仿宋_GB2312"/>
          <w:kern w:val="2"/>
          <w:sz w:val="32"/>
          <w:szCs w:val="32"/>
        </w:rPr>
        <w:t>以发布的申报通知为准），资助计划下达1个月内受资助单位须办理资金拨付手续，逾期不办理者视为自动放弃。</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八、其他事项</w:t>
      </w:r>
    </w:p>
    <w:p>
      <w:pPr>
        <w:pageBreakBefore w:val="0"/>
        <w:numPr>
          <w:ilvl w:val="0"/>
          <w:numId w:val="0"/>
        </w:numPr>
        <w:kinsoku/>
        <w:wordWrap/>
        <w:overflowPunct/>
        <w:topLinePunct w:val="0"/>
        <w:autoSpaceDE/>
        <w:autoSpaceDN/>
        <w:bidi w:val="0"/>
        <w:spacing w:line="560" w:lineRule="exact"/>
        <w:ind w:left="0" w:leftChars="0" w:firstLine="628" w:firstLineChars="0"/>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cs="Times New Roman"/>
          <w:kern w:val="2"/>
          <w:sz w:val="32"/>
          <w:szCs w:val="32"/>
          <w:highlight w:val="none"/>
          <w:lang w:val="en-US" w:eastAsia="zh-CN" w:bidi="ar-SA"/>
        </w:rPr>
        <w:t>（一）企业申请获得的资助资金，由其依法依规安排使用，鼓励企业将该笔资金用于奖励对公司经营增长作出突出贡献的高管及骨干、帮助员工减轻在深住房成本、补充员工福利支出、扩大生产经营等</w:t>
      </w:r>
      <w:r>
        <w:rPr>
          <w:rFonts w:hint="eastAsia" w:ascii="仿宋_GB2312" w:hAnsi="宋体" w:eastAsia="仿宋_GB2312"/>
          <w:sz w:val="32"/>
          <w:szCs w:val="32"/>
          <w:highlight w:val="none"/>
          <w:lang w:eastAsia="zh-CN"/>
        </w:rPr>
        <w:t>。</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5"/>
        <w:jc w:val="both"/>
        <w:rPr>
          <w:rFonts w:ascii="Times New Roman" w:hAnsi="Times New Roman" w:eastAsia="仿宋_GB2312" w:cs="Times New Roman"/>
          <w:sz w:val="32"/>
          <w:szCs w:val="32"/>
        </w:rPr>
      </w:pPr>
      <w:r>
        <w:rPr>
          <w:rFonts w:hint="eastAsia" w:ascii="仿宋_GB2312" w:hAnsi="黑体" w:eastAsia="仿宋_GB2312" w:cs="Times New Roman"/>
          <w:kern w:val="2"/>
          <w:sz w:val="32"/>
          <w:szCs w:val="32"/>
          <w:highlight w:val="none"/>
          <w:lang w:val="en-US" w:eastAsia="zh-CN" w:bidi="ar-SA"/>
        </w:rPr>
        <w:t>（二）</w:t>
      </w: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九、附则</w:t>
      </w:r>
    </w:p>
    <w:p>
      <w:pPr>
        <w:pStyle w:val="5"/>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本规程由南山区工业和信息化局负责解释，自发布之日起施行。</w:t>
      </w:r>
    </w:p>
    <w:p>
      <w:pPr>
        <w:pageBreakBefore w:val="0"/>
        <w:kinsoku/>
        <w:wordWrap/>
        <w:overflowPunct/>
        <w:topLinePunct w:val="0"/>
        <w:autoSpaceDE/>
        <w:autoSpaceDN/>
        <w:bidi w:val="0"/>
        <w:spacing w:line="560" w:lineRule="exact"/>
      </w:pPr>
      <w:bookmarkStart w:id="0" w:name="_GoBack"/>
      <w:bookmarkEnd w:id="0"/>
    </w:p>
    <w:sectPr>
      <w:footerReference r:id="rId3" w:type="default"/>
      <w:footerReference r:id="rId4" w:type="even"/>
      <w:pgSz w:w="11906" w:h="16838"/>
      <w:pgMar w:top="1440" w:right="1746"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Tg1YmFkMTBlNTA4OWMyNjM5MmViNzA5ODQ3OTcifQ=="/>
  </w:docVars>
  <w:rsids>
    <w:rsidRoot w:val="60FE4A61"/>
    <w:rsid w:val="006F19B7"/>
    <w:rsid w:val="05947C79"/>
    <w:rsid w:val="08A83EE1"/>
    <w:rsid w:val="095F3199"/>
    <w:rsid w:val="0DDA0BC8"/>
    <w:rsid w:val="1EA57936"/>
    <w:rsid w:val="1F724B61"/>
    <w:rsid w:val="20170D71"/>
    <w:rsid w:val="22785764"/>
    <w:rsid w:val="22E92853"/>
    <w:rsid w:val="23B819CC"/>
    <w:rsid w:val="248164B2"/>
    <w:rsid w:val="24A75B2E"/>
    <w:rsid w:val="2AB75173"/>
    <w:rsid w:val="2D477C4E"/>
    <w:rsid w:val="30D92BC5"/>
    <w:rsid w:val="3A5B2B4D"/>
    <w:rsid w:val="3CCB7597"/>
    <w:rsid w:val="3DC2196D"/>
    <w:rsid w:val="3F2F6B8F"/>
    <w:rsid w:val="4BC56432"/>
    <w:rsid w:val="4E883264"/>
    <w:rsid w:val="518D1C42"/>
    <w:rsid w:val="531124F9"/>
    <w:rsid w:val="55AD05A3"/>
    <w:rsid w:val="58650932"/>
    <w:rsid w:val="5FA80816"/>
    <w:rsid w:val="60432042"/>
    <w:rsid w:val="60BC204A"/>
    <w:rsid w:val="60FE4A61"/>
    <w:rsid w:val="64736BA9"/>
    <w:rsid w:val="68522367"/>
    <w:rsid w:val="69641188"/>
    <w:rsid w:val="6DF8AA10"/>
    <w:rsid w:val="755D644F"/>
    <w:rsid w:val="781814EC"/>
    <w:rsid w:val="7F74B241"/>
    <w:rsid w:val="7F902DE2"/>
    <w:rsid w:val="FFA980A1"/>
    <w:rsid w:val="FFEF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31"/>
    <w:basedOn w:val="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2612</Words>
  <Characters>2907</Characters>
  <Lines>0</Lines>
  <Paragraphs>0</Paragraphs>
  <TotalTime>73</TotalTime>
  <ScaleCrop>false</ScaleCrop>
  <LinksUpToDate>false</LinksUpToDate>
  <CharactersWithSpaces>2912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2024-05-28T15:22:00Z</dcterms:created>
  <dc:creator>张思敏</dc:creator>
  <cp:lastModifiedBy>区工业和信息化局帐户</cp:lastModifiedBy>
  <cp:lastPrinted>2024-12-25T14:36:06Z</cp:lastPrinted>
  <dcterms:modified xsi:type="dcterms:W3CDTF">2024-12-25T17:34:09Z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7DA5CF03A17B43D197ED35A566363764_13</vt:lpwstr>
  </property>
</Properties>
</file>