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仿宋_GB2312" w:cs="CESI黑体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4" w:leftChars="0" w:hanging="1124" w:hangingChars="400"/>
        <w:textAlignment w:val="auto"/>
        <w:rPr>
          <w:rFonts w:hint="eastAsia" w:ascii="楷体" w:hAnsi="楷体" w:eastAsia="楷体" w:cs="楷体"/>
          <w:b/>
          <w:bCs w:val="0"/>
          <w:color w:val="auto"/>
          <w:sz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授权深圳市前海深港现代服务业合作区管理局根据《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深圳市前海深港现代服务业合作区管理局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宝安区人民政府关于促进跨境电子商务高质量发展的若干措施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》及其申报指南规定的材料要求，查询我方的如下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纳税有关信息；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营业收入或收入、利润总额等经营信息；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社会保险缴纳信息；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信用信息；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注册地、纳税地等信息；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深圳市前海深港现代服务业合作区管理局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宝安区人民政府关于促进跨境电子商务高质量发展的若干措施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其他所需信息。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授权期限自本授权书签发之日起，至上述信息查询全部完毕之日止。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申报主体为机构的：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法定代表人（授权代表）签字：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(被授权人需提交授权人委托书)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34D84"/>
    <w:rsid w:val="18261BFC"/>
    <w:rsid w:val="6F3DA71F"/>
    <w:rsid w:val="7C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0</TotalTime>
  <ScaleCrop>false</ScaleCrop>
  <LinksUpToDate>false</LinksUpToDate>
  <CharactersWithSpaces>381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2025-04-14T14:44:00Z</dcterms:created>
  <dc:creator>huang</dc:creator>
  <cp:lastModifiedBy>熊烨鹏</cp:lastModifiedBy>
  <dcterms:modified xsi:type="dcterms:W3CDTF">2025-05-09T16:13:06Z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4C3EA46A70F8434D9562945BFF266F39_11</vt:lpwstr>
  </property>
  <property fmtid="{D5CDD505-2E9C-101B-9397-08002B2CF9AE}" pid="4" name="KSOTemplateDocerSaveRecord">
    <vt:lpwstr>eyJoZGlkIjoiZTVkZmVlZTY2NTBhYTc3NDk2MzUwMjYzZjRhMzFmZDgiLCJ1c2VySWQiOiIzNTQwNzE2MDkifQ==</vt:lpwstr>
  </property>
</Properties>
</file>