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Lines="200" w:beforeAutospacing="0" w:afterLines="100" w:afterAutospacing="0" w:line="580" w:lineRule="exact"/>
        <w:jc w:val="center"/>
        <w:rPr>
          <w:rFonts w:hint="default" w:ascii="方正小标宋简体" w:hAnsi="方正小标宋简体" w:eastAsia="方正小标宋简体" w:cs="方正小标宋简体"/>
          <w:b w:val="0"/>
          <w:sz w:val="44"/>
          <w:szCs w:val="44"/>
        </w:rPr>
      </w:pPr>
      <w:bookmarkStart w:id="0" w:name="_GoBack"/>
      <w:bookmarkEnd w:id="0"/>
      <w:r>
        <w:rPr>
          <w:rFonts w:ascii="方正小标宋简体" w:hAnsi="方正小标宋简体" w:eastAsia="方正小标宋简体" w:cs="方正小标宋简体"/>
          <w:b w:val="0"/>
          <w:sz w:val="44"/>
          <w:szCs w:val="44"/>
        </w:rPr>
        <w:t>202</w:t>
      </w:r>
      <w:r>
        <w:rPr>
          <w:rFonts w:hint="eastAsia" w:ascii="方正小标宋简体" w:hAnsi="方正小标宋简体" w:eastAsia="方正小标宋简体" w:cs="方正小标宋简体"/>
          <w:b w:val="0"/>
          <w:sz w:val="44"/>
          <w:szCs w:val="44"/>
          <w:lang w:val="en-US" w:eastAsia="zh-CN"/>
        </w:rPr>
        <w:t>5</w:t>
      </w:r>
      <w:r>
        <w:rPr>
          <w:rFonts w:ascii="方正小标宋简体" w:hAnsi="方正小标宋简体" w:eastAsia="方正小标宋简体" w:cs="方正小标宋简体"/>
          <w:b w:val="0"/>
          <w:sz w:val="44"/>
          <w:szCs w:val="44"/>
        </w:rPr>
        <w:t>度深圳市知识产权领军企业（单位）资助项目申报指南</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申报内容</w:t>
      </w:r>
    </w:p>
    <w:p>
      <w:pPr>
        <w:numPr>
          <w:ilvl w:val="0"/>
          <w:numId w:val="0"/>
        </w:numPr>
        <w:snapToGrid w:val="0"/>
        <w:spacing w:line="560" w:lineRule="exact"/>
        <w:ind w:firstLine="640" w:firstLineChars="200"/>
        <w:jc w:val="left"/>
        <w:rPr>
          <w:rFonts w:ascii="仿宋_GB2312" w:hAnsi="Times New Roman" w:eastAsia="仿宋_GB2312"/>
          <w:b/>
          <w:sz w:val="32"/>
          <w:szCs w:val="32"/>
        </w:rPr>
      </w:pPr>
      <w:r>
        <w:rPr>
          <w:rFonts w:hint="eastAsia" w:ascii="仿宋_GB2312" w:hAnsi="华文中宋" w:eastAsia="仿宋_GB2312" w:cs="黑体"/>
          <w:bCs/>
          <w:sz w:val="32"/>
          <w:szCs w:val="32"/>
        </w:rPr>
        <w:t>202</w:t>
      </w:r>
      <w:r>
        <w:rPr>
          <w:rFonts w:hint="eastAsia" w:ascii="仿宋_GB2312" w:hAnsi="华文中宋" w:eastAsia="仿宋_GB2312" w:cs="黑体"/>
          <w:bCs/>
          <w:sz w:val="32"/>
          <w:szCs w:val="32"/>
          <w:lang w:val="en-US" w:eastAsia="zh-CN"/>
        </w:rPr>
        <w:t>5</w:t>
      </w:r>
      <w:r>
        <w:rPr>
          <w:rFonts w:hint="eastAsia" w:ascii="仿宋_GB2312" w:hAnsi="华文中宋" w:eastAsia="仿宋_GB2312" w:cs="黑体"/>
          <w:bCs/>
          <w:sz w:val="32"/>
          <w:szCs w:val="32"/>
        </w:rPr>
        <w:t>年度</w:t>
      </w:r>
      <w:r>
        <w:rPr>
          <w:rFonts w:hint="eastAsia" w:ascii="仿宋_GB2312" w:hAnsi="仿宋_GB2312" w:eastAsia="仿宋_GB2312" w:cs="仿宋_GB2312"/>
          <w:sz w:val="32"/>
          <w:szCs w:val="32"/>
        </w:rPr>
        <w:t>深圳市知识产权领军企业（单位）资助。</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设定</w:t>
      </w:r>
      <w:r>
        <w:rPr>
          <w:rFonts w:hint="default" w:ascii="Times New Roman" w:hAnsi="Times New Roman" w:eastAsia="黑体"/>
          <w:b w:val="0"/>
          <w:sz w:val="32"/>
        </w:rPr>
        <w:t>依据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（一）《深圳市市场监督管理局专项资金管理办法》（深市监规〔202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9</w:t>
      </w:r>
      <w:r>
        <w:rPr>
          <w:rFonts w:hint="eastAsia" w:ascii="仿宋_GB2312" w:eastAsia="仿宋_GB2312"/>
          <w:sz w:val="32"/>
          <w:szCs w:val="32"/>
        </w:rPr>
        <w:t>号）；</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（二）《深圳市市场监督管理局知识产权领域专项资金操作规程》（深市监规〔2024〕5号）。</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资助标准</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每年认定深圳市知识产权领军企业（单位）不超过20家，每家给予一次性资助50万元。</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hint="default" w:ascii="Times New Roman" w:hAnsi="Times New Roman" w:eastAsia="黑体"/>
          <w:b w:val="0"/>
          <w:sz w:val="32"/>
        </w:rPr>
        <w:t>申</w:t>
      </w:r>
      <w:r>
        <w:rPr>
          <w:rFonts w:ascii="Times New Roman" w:hAnsi="Times New Roman" w:eastAsia="黑体"/>
          <w:b w:val="0"/>
          <w:sz w:val="32"/>
        </w:rPr>
        <w:t>请</w:t>
      </w:r>
      <w:r>
        <w:rPr>
          <w:rFonts w:hint="default" w:ascii="Times New Roman" w:hAnsi="Times New Roman" w:eastAsia="黑体"/>
          <w:b w:val="0"/>
          <w:sz w:val="32"/>
        </w:rPr>
        <w:t>条件</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申请人应当同时符合下列条件：</w:t>
      </w:r>
    </w:p>
    <w:p>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属于依法登记注册的企业、高校或者科研院所，</w:t>
      </w:r>
      <w:r>
        <w:rPr>
          <w:rFonts w:ascii="仿宋_GB2312" w:hAnsi="仿宋_GB2312" w:eastAsia="仿宋_GB2312" w:cs="仿宋_GB2312"/>
          <w:sz w:val="32"/>
          <w:szCs w:val="32"/>
        </w:rPr>
        <w:t>且</w:t>
      </w:r>
      <w:r>
        <w:rPr>
          <w:rFonts w:hint="eastAsia" w:ascii="仿宋_GB2312" w:hAnsi="仿宋_GB2312" w:eastAsia="仿宋_GB2312" w:cs="仿宋_GB2312"/>
          <w:sz w:val="32"/>
          <w:szCs w:val="32"/>
        </w:rPr>
        <w:t>未</w:t>
      </w:r>
      <w:r>
        <w:rPr>
          <w:rFonts w:ascii="仿宋_GB2312" w:hAnsi="仿宋_GB2312" w:eastAsia="仿宋_GB2312" w:cs="仿宋_GB2312"/>
          <w:sz w:val="32"/>
          <w:szCs w:val="32"/>
        </w:rPr>
        <w:t>被认定为</w:t>
      </w:r>
      <w:r>
        <w:rPr>
          <w:rFonts w:hint="eastAsia" w:ascii="仿宋_GB2312" w:hAnsi="仿宋_GB2312" w:eastAsia="仿宋_GB2312" w:cs="仿宋_GB2312"/>
          <w:sz w:val="32"/>
          <w:szCs w:val="32"/>
        </w:rPr>
        <w:t>深圳市</w:t>
      </w:r>
      <w:r>
        <w:rPr>
          <w:rFonts w:ascii="仿宋_GB2312" w:hAnsi="仿宋_GB2312" w:eastAsia="仿宋_GB2312" w:cs="仿宋_GB2312"/>
          <w:sz w:val="32"/>
          <w:szCs w:val="32"/>
        </w:rPr>
        <w:t>知识产权</w:t>
      </w:r>
      <w:r>
        <w:rPr>
          <w:rFonts w:hint="eastAsia" w:ascii="仿宋_GB2312" w:hAnsi="仿宋_GB2312" w:eastAsia="仿宋_GB2312" w:cs="仿宋_GB2312"/>
          <w:sz w:val="32"/>
          <w:szCs w:val="32"/>
        </w:rPr>
        <w:t>优势单位（企业）；</w:t>
      </w:r>
    </w:p>
    <w:p>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在深圳市从事生产经营活动，在深圳市拥有稳定办公场所；</w:t>
      </w:r>
    </w:p>
    <w:p>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具有知识产权管理部门和专职工作人员，在健全完善知识产权管理体系和人才培养方面取得成效；</w:t>
      </w:r>
    </w:p>
    <w:p>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近2年内知识产权创造或布局成果显著；</w:t>
      </w:r>
    </w:p>
    <w:p>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知识产权运用成效好，知识产权对产品或服务起到重要支撑作用，或已对外运营知识产权，或在知识产权金融领域取得运用成效；</w:t>
      </w:r>
    </w:p>
    <w:p>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已建立完善的知识产权保护体系，并且采取有效措施保护知识产权；</w:t>
      </w:r>
    </w:p>
    <w:p>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上年度对知识产权工作的投入（含知识产权人力成本、知识产权教育培训、知识产权信息化建设、知识产权保护或维权、知识产权申请官费及代理费、知识产权专业咨询等相关费用）占研发投入2%以上。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申请人已通过《创新管理—知识产权管理指南（ISO56005）》国际标准国际化专业评价的，予以优先考虑。</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不予资助的情形</w:t>
      </w:r>
    </w:p>
    <w:p>
      <w:pPr>
        <w:snapToGrid w:val="0"/>
        <w:spacing w:line="560" w:lineRule="exact"/>
        <w:ind w:firstLine="640" w:firstLineChars="200"/>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（一）不符合相关法律、法规、规章、专项资金管理办法、专项资金操作规程有关要求的；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（三）所申请项目已经获得市级同类资助或者奖励的；</w:t>
      </w:r>
    </w:p>
    <w:p>
      <w:pPr>
        <w:adjustRightInd w:val="0"/>
        <w:snapToGrid w:val="0"/>
        <w:spacing w:line="600" w:lineRule="exact"/>
        <w:ind w:firstLine="640" w:firstLineChars="200"/>
        <w:rPr>
          <w:rFonts w:ascii="仿宋_GB2312" w:eastAsia="仿宋_GB2312"/>
          <w:b/>
          <w:sz w:val="32"/>
        </w:rPr>
      </w:pPr>
      <w:r>
        <w:rPr>
          <w:rFonts w:hint="eastAsia" w:ascii="仿宋_GB2312" w:hAnsi="仿宋_GB2312" w:eastAsia="仿宋_GB2312" w:cs="仿宋_GB2312"/>
          <w:sz w:val="32"/>
          <w:szCs w:val="32"/>
        </w:rPr>
        <w:t>（四）申请人主体已经消亡，或者进入破产清算程序的。</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申请材料</w:t>
      </w:r>
    </w:p>
    <w:p>
      <w:pPr>
        <w:numPr>
          <w:ilvl w:val="0"/>
          <w:numId w:val="0"/>
        </w:numPr>
        <w:snapToGrid w:val="0"/>
        <w:spacing w:line="560" w:lineRule="exact"/>
        <w:ind w:firstLine="642" w:firstLineChars="200"/>
        <w:rPr>
          <w:rFonts w:ascii="楷体_GB2312" w:eastAsia="楷体_GB2312"/>
          <w:b/>
          <w:sz w:val="32"/>
          <w:szCs w:val="32"/>
        </w:rPr>
      </w:pPr>
      <w:r>
        <w:rPr>
          <w:rFonts w:hint="eastAsia" w:ascii="楷体_GB2312" w:eastAsia="楷体_GB2312"/>
          <w:b/>
          <w:sz w:val="32"/>
          <w:szCs w:val="32"/>
        </w:rPr>
        <w:t>（一）申请表</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在申报系统上在线填写项目申报信息。</w:t>
      </w:r>
    </w:p>
    <w:p>
      <w:pPr>
        <w:numPr>
          <w:ilvl w:val="0"/>
          <w:numId w:val="0"/>
        </w:numPr>
        <w:snapToGrid w:val="0"/>
        <w:spacing w:line="560" w:lineRule="exact"/>
        <w:ind w:firstLine="642" w:firstLineChars="200"/>
        <w:rPr>
          <w:rFonts w:ascii="仿宋_GB2312" w:eastAsia="仿宋_GB2312"/>
          <w:sz w:val="32"/>
          <w:szCs w:val="32"/>
        </w:rPr>
      </w:pPr>
      <w:r>
        <w:rPr>
          <w:rFonts w:hint="eastAsia" w:ascii="楷体_GB2312" w:eastAsia="楷体_GB2312"/>
          <w:b/>
          <w:sz w:val="32"/>
          <w:szCs w:val="32"/>
        </w:rPr>
        <w:t>（二）申请人知识产权</w:t>
      </w:r>
      <w:r>
        <w:rPr>
          <w:rFonts w:ascii="楷体_GB2312" w:eastAsia="楷体_GB2312"/>
          <w:b/>
          <w:sz w:val="32"/>
          <w:szCs w:val="32"/>
        </w:rPr>
        <w:t>管理体系</w:t>
      </w:r>
      <w:r>
        <w:rPr>
          <w:rFonts w:hint="eastAsia" w:ascii="楷体_GB2312" w:eastAsia="楷体_GB2312"/>
          <w:b/>
          <w:sz w:val="32"/>
          <w:szCs w:val="32"/>
        </w:rPr>
        <w:t>建设及人才培养成效相关材料</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1.提交申请人知识产权</w:t>
      </w:r>
      <w:r>
        <w:rPr>
          <w:rFonts w:ascii="仿宋_GB2312" w:eastAsia="仿宋_GB2312"/>
          <w:sz w:val="32"/>
          <w:szCs w:val="32"/>
        </w:rPr>
        <w:t>部门组织架构及</w:t>
      </w:r>
      <w:r>
        <w:rPr>
          <w:rFonts w:hint="eastAsia" w:ascii="仿宋_GB2312" w:eastAsia="仿宋_GB2312"/>
          <w:sz w:val="32"/>
          <w:szCs w:val="32"/>
          <w:lang w:eastAsia="zh-CN"/>
        </w:rPr>
        <w:t>本单位</w:t>
      </w:r>
      <w:r>
        <w:rPr>
          <w:rFonts w:hint="eastAsia" w:ascii="仿宋_GB2312" w:eastAsia="仿宋_GB2312"/>
          <w:sz w:val="32"/>
          <w:szCs w:val="32"/>
        </w:rPr>
        <w:t>专职</w:t>
      </w:r>
      <w:r>
        <w:rPr>
          <w:rFonts w:ascii="仿宋_GB2312" w:eastAsia="仿宋_GB2312"/>
          <w:sz w:val="32"/>
          <w:szCs w:val="32"/>
        </w:rPr>
        <w:t>工作</w:t>
      </w:r>
      <w:r>
        <w:rPr>
          <w:rFonts w:hint="eastAsia" w:ascii="仿宋_GB2312" w:eastAsia="仿宋_GB2312"/>
          <w:sz w:val="32"/>
          <w:szCs w:val="32"/>
        </w:rPr>
        <w:t>人员</w:t>
      </w:r>
      <w:r>
        <w:rPr>
          <w:rFonts w:ascii="仿宋_GB2312" w:eastAsia="仿宋_GB2312"/>
          <w:sz w:val="32"/>
          <w:szCs w:val="32"/>
        </w:rPr>
        <w:t>相关职业资格情况</w:t>
      </w:r>
      <w:r>
        <w:rPr>
          <w:rFonts w:hint="eastAsia" w:ascii="仿宋_GB2312" w:eastAsia="仿宋_GB2312"/>
          <w:sz w:val="32"/>
          <w:szCs w:val="32"/>
        </w:rPr>
        <w:t>（专利代理师资格证书、</w:t>
      </w:r>
      <w:r>
        <w:rPr>
          <w:rFonts w:ascii="仿宋_GB2312" w:eastAsia="仿宋_GB2312"/>
          <w:sz w:val="32"/>
          <w:szCs w:val="32"/>
        </w:rPr>
        <w:t>法律职业资格</w:t>
      </w:r>
      <w:r>
        <w:rPr>
          <w:rFonts w:hint="eastAsia" w:ascii="仿宋_GB2312" w:eastAsia="仿宋_GB2312"/>
          <w:sz w:val="32"/>
          <w:szCs w:val="32"/>
        </w:rPr>
        <w:t>证等）</w:t>
      </w:r>
      <w:r>
        <w:rPr>
          <w:rFonts w:ascii="仿宋_GB2312" w:eastAsia="仿宋_GB2312"/>
          <w:sz w:val="32"/>
          <w:szCs w:val="32"/>
        </w:rPr>
        <w:t>、职称情况（</w:t>
      </w:r>
      <w:r>
        <w:rPr>
          <w:rFonts w:hint="eastAsia" w:ascii="仿宋_GB2312" w:eastAsia="仿宋_GB2312"/>
          <w:sz w:val="32"/>
          <w:szCs w:val="32"/>
        </w:rPr>
        <w:t>知识产权</w:t>
      </w:r>
      <w:r>
        <w:rPr>
          <w:rFonts w:ascii="仿宋_GB2312" w:eastAsia="仿宋_GB2312"/>
          <w:sz w:val="32"/>
          <w:szCs w:val="32"/>
        </w:rPr>
        <w:t>专业</w:t>
      </w:r>
      <w:r>
        <w:rPr>
          <w:rFonts w:hint="eastAsia" w:ascii="仿宋_GB2312" w:eastAsia="仿宋_GB2312"/>
          <w:sz w:val="32"/>
          <w:szCs w:val="32"/>
        </w:rPr>
        <w:t>中级</w:t>
      </w:r>
      <w:r>
        <w:rPr>
          <w:rFonts w:ascii="仿宋_GB2312" w:eastAsia="仿宋_GB2312"/>
          <w:sz w:val="32"/>
          <w:szCs w:val="32"/>
        </w:rPr>
        <w:t>或</w:t>
      </w:r>
      <w:r>
        <w:rPr>
          <w:rFonts w:hint="eastAsia" w:ascii="仿宋_GB2312" w:eastAsia="仿宋_GB2312"/>
          <w:sz w:val="32"/>
          <w:szCs w:val="32"/>
        </w:rPr>
        <w:t>高级</w:t>
      </w:r>
      <w:r>
        <w:rPr>
          <w:rFonts w:ascii="仿宋_GB2312" w:eastAsia="仿宋_GB2312"/>
          <w:sz w:val="32"/>
          <w:szCs w:val="32"/>
        </w:rPr>
        <w:t>技术</w:t>
      </w:r>
      <w:r>
        <w:rPr>
          <w:rFonts w:hint="eastAsia" w:ascii="仿宋_GB2312" w:eastAsia="仿宋_GB2312"/>
          <w:sz w:val="32"/>
          <w:szCs w:val="32"/>
        </w:rPr>
        <w:t>职称</w:t>
      </w:r>
      <w:r>
        <w:rPr>
          <w:rFonts w:ascii="仿宋_GB2312" w:eastAsia="仿宋_GB2312"/>
          <w:sz w:val="32"/>
          <w:szCs w:val="32"/>
        </w:rPr>
        <w:t>认定文件等）</w:t>
      </w:r>
      <w:r>
        <w:rPr>
          <w:rFonts w:hint="eastAsia" w:ascii="仿宋_GB2312" w:eastAsia="仿宋_GB2312"/>
          <w:sz w:val="32"/>
          <w:szCs w:val="32"/>
        </w:rPr>
        <w:t>；</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提交建立和完善</w:t>
      </w:r>
      <w:r>
        <w:rPr>
          <w:rFonts w:hint="eastAsia" w:ascii="仿宋_GB2312" w:eastAsia="仿宋_GB2312"/>
          <w:sz w:val="32"/>
          <w:szCs w:val="32"/>
        </w:rPr>
        <w:t>知识产权管理制度</w:t>
      </w:r>
      <w:r>
        <w:rPr>
          <w:rFonts w:ascii="仿宋_GB2312" w:eastAsia="仿宋_GB2312"/>
          <w:sz w:val="32"/>
          <w:szCs w:val="32"/>
        </w:rPr>
        <w:t>的相关材料；</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通过</w:t>
      </w:r>
      <w:r>
        <w:rPr>
          <w:rFonts w:hint="eastAsia" w:ascii="仿宋_GB2312" w:hAnsi="仿宋_GB2312" w:eastAsia="仿宋_GB2312" w:cs="仿宋_GB2312"/>
          <w:sz w:val="32"/>
          <w:szCs w:val="32"/>
        </w:rPr>
        <w:t>《创新管理—知识产权管理指南（ISO56005）》国际标准国际化专业评</w:t>
      </w:r>
      <w:r>
        <w:rPr>
          <w:rFonts w:hint="eastAsia" w:ascii="仿宋_GB2312" w:hAnsi="仿宋_GB2312" w:eastAsia="仿宋_GB2312" w:cs="仿宋_GB2312"/>
          <w:sz w:val="32"/>
          <w:szCs w:val="32"/>
          <w:lang w:eastAsia="zh-CN"/>
        </w:rPr>
        <w:t>价</w:t>
      </w:r>
      <w:r>
        <w:rPr>
          <w:rFonts w:hint="eastAsia" w:ascii="仿宋_GB2312" w:hAnsi="仿宋_GB2312" w:eastAsia="仿宋_GB2312" w:cs="仿宋_GB2312"/>
          <w:sz w:val="32"/>
          <w:szCs w:val="32"/>
        </w:rPr>
        <w:t>的</w:t>
      </w:r>
      <w:r>
        <w:rPr>
          <w:rFonts w:ascii="仿宋_GB2312" w:eastAsia="仿宋_GB2312"/>
          <w:sz w:val="32"/>
          <w:szCs w:val="32"/>
        </w:rPr>
        <w:t>，提交</w:t>
      </w:r>
      <w:r>
        <w:rPr>
          <w:rFonts w:hint="eastAsia" w:ascii="仿宋_GB2312" w:eastAsia="仿宋_GB2312"/>
          <w:sz w:val="32"/>
          <w:szCs w:val="32"/>
        </w:rPr>
        <w:t>有关</w:t>
      </w:r>
      <w:r>
        <w:rPr>
          <w:rFonts w:ascii="仿宋_GB2312" w:eastAsia="仿宋_GB2312"/>
          <w:sz w:val="32"/>
          <w:szCs w:val="32"/>
        </w:rPr>
        <w:t>证书</w:t>
      </w:r>
      <w:r>
        <w:rPr>
          <w:rFonts w:hint="eastAsia" w:ascii="仿宋_GB2312" w:eastAsia="仿宋_GB2312"/>
          <w:sz w:val="32"/>
          <w:szCs w:val="32"/>
        </w:rPr>
        <w:t>扫描件或其他佐证材料。</w:t>
      </w:r>
    </w:p>
    <w:p>
      <w:pPr>
        <w:numPr>
          <w:ilvl w:val="0"/>
          <w:numId w:val="0"/>
        </w:numPr>
        <w:snapToGrid w:val="0"/>
        <w:spacing w:line="560" w:lineRule="exact"/>
        <w:ind w:firstLine="642" w:firstLineChars="200"/>
        <w:rPr>
          <w:rFonts w:ascii="楷体_GB2312" w:eastAsia="楷体_GB2312"/>
          <w:b/>
          <w:sz w:val="32"/>
          <w:szCs w:val="32"/>
        </w:rPr>
      </w:pPr>
      <w:r>
        <w:rPr>
          <w:rFonts w:hint="eastAsia" w:ascii="楷体_GB2312" w:eastAsia="楷体_GB2312"/>
          <w:b/>
          <w:sz w:val="32"/>
          <w:szCs w:val="32"/>
        </w:rPr>
        <w:t>（三）知识产权创造、运用、保护各领域工作成效相关材料</w:t>
      </w:r>
    </w:p>
    <w:p>
      <w:pPr>
        <w:snapToGrid w:val="0"/>
        <w:spacing w:line="560" w:lineRule="exact"/>
        <w:ind w:firstLine="642" w:firstLineChars="200"/>
        <w:rPr>
          <w:rFonts w:ascii="仿宋_GB2312" w:eastAsia="仿宋_GB2312"/>
          <w:b/>
          <w:bCs/>
          <w:sz w:val="32"/>
          <w:szCs w:val="32"/>
        </w:rPr>
      </w:pPr>
      <w:r>
        <w:rPr>
          <w:rFonts w:hint="eastAsia" w:ascii="仿宋_GB2312" w:eastAsia="仿宋_GB2312"/>
          <w:b/>
          <w:bCs/>
          <w:sz w:val="32"/>
          <w:szCs w:val="32"/>
        </w:rPr>
        <w:t>1.</w:t>
      </w:r>
      <w:r>
        <w:rPr>
          <w:rFonts w:ascii="仿宋_GB2312" w:eastAsia="仿宋_GB2312"/>
          <w:b/>
          <w:bCs/>
          <w:sz w:val="32"/>
          <w:szCs w:val="32"/>
        </w:rPr>
        <w:t>知识产权创造：</w:t>
      </w:r>
    </w:p>
    <w:p>
      <w:pPr>
        <w:snapToGrid w:val="0"/>
        <w:spacing w:line="560" w:lineRule="exact"/>
        <w:ind w:firstLine="640" w:firstLineChars="200"/>
        <w:rPr>
          <w:rFonts w:ascii="仿宋_GB2312" w:eastAsia="仿宋_GB2312"/>
          <w:sz w:val="32"/>
          <w:szCs w:val="32"/>
        </w:rPr>
      </w:pPr>
      <w:r>
        <w:rPr>
          <w:rFonts w:ascii="仿宋_GB2312" w:eastAsia="仿宋_GB2312"/>
          <w:sz w:val="32"/>
          <w:szCs w:val="32"/>
        </w:rPr>
        <w:t>提交</w:t>
      </w:r>
      <w:r>
        <w:rPr>
          <w:rFonts w:hint="eastAsia" w:ascii="仿宋_GB2312" w:eastAsia="仿宋_GB2312"/>
          <w:sz w:val="32"/>
          <w:szCs w:val="32"/>
        </w:rPr>
        <w:t>近2年（202</w:t>
      </w:r>
      <w:r>
        <w:rPr>
          <w:rFonts w:hint="eastAsia" w:ascii="仿宋_GB2312" w:eastAsia="仿宋_GB2312"/>
          <w:sz w:val="32"/>
          <w:szCs w:val="32"/>
          <w:lang w:val="en-US" w:eastAsia="zh-CN"/>
        </w:rPr>
        <w:t>3</w:t>
      </w:r>
      <w:r>
        <w:rPr>
          <w:rFonts w:hint="eastAsia" w:ascii="仿宋_GB2312" w:eastAsia="仿宋_GB2312"/>
          <w:sz w:val="32"/>
          <w:szCs w:val="32"/>
        </w:rPr>
        <w:t>年度、202</w:t>
      </w:r>
      <w:r>
        <w:rPr>
          <w:rFonts w:hint="eastAsia" w:ascii="仿宋_GB2312" w:eastAsia="仿宋_GB2312"/>
          <w:sz w:val="32"/>
          <w:szCs w:val="32"/>
          <w:lang w:val="en-US" w:eastAsia="zh-CN"/>
        </w:rPr>
        <w:t>4</w:t>
      </w:r>
      <w:r>
        <w:rPr>
          <w:rFonts w:hint="eastAsia" w:ascii="仿宋_GB2312" w:eastAsia="仿宋_GB2312"/>
          <w:sz w:val="32"/>
          <w:szCs w:val="32"/>
        </w:rPr>
        <w:t>年度）</w:t>
      </w:r>
      <w:r>
        <w:rPr>
          <w:rFonts w:ascii="仿宋_GB2312" w:eastAsia="仿宋_GB2312"/>
          <w:sz w:val="32"/>
          <w:szCs w:val="32"/>
        </w:rPr>
        <w:t>境内</w:t>
      </w:r>
      <w:r>
        <w:rPr>
          <w:rFonts w:hint="eastAsia" w:ascii="仿宋_GB2312" w:eastAsia="仿宋_GB2312"/>
          <w:sz w:val="32"/>
          <w:szCs w:val="32"/>
        </w:rPr>
        <w:t>有效发明专利授权或版权登记或商标注册核准</w:t>
      </w:r>
      <w:r>
        <w:rPr>
          <w:rFonts w:ascii="仿宋_GB2312" w:eastAsia="仿宋_GB2312"/>
          <w:sz w:val="32"/>
          <w:szCs w:val="32"/>
        </w:rPr>
        <w:t>、境外</w:t>
      </w:r>
      <w:r>
        <w:rPr>
          <w:rFonts w:hint="eastAsia" w:ascii="仿宋_GB2312" w:eastAsia="仿宋_GB2312"/>
          <w:sz w:val="32"/>
          <w:szCs w:val="32"/>
        </w:rPr>
        <w:t>发明</w:t>
      </w:r>
      <w:r>
        <w:rPr>
          <w:rFonts w:ascii="仿宋_GB2312" w:eastAsia="仿宋_GB2312"/>
          <w:sz w:val="32"/>
          <w:szCs w:val="32"/>
        </w:rPr>
        <w:t>专利授权</w:t>
      </w:r>
      <w:r>
        <w:rPr>
          <w:rFonts w:hint="eastAsia" w:ascii="仿宋_GB2312" w:eastAsia="仿宋_GB2312"/>
          <w:sz w:val="32"/>
          <w:szCs w:val="32"/>
        </w:rPr>
        <w:t>、</w:t>
      </w:r>
      <w:r>
        <w:rPr>
          <w:rFonts w:ascii="仿宋_GB2312" w:eastAsia="仿宋_GB2312"/>
          <w:sz w:val="32"/>
          <w:szCs w:val="32"/>
        </w:rPr>
        <w:t>PCT申请</w:t>
      </w:r>
      <w:r>
        <w:rPr>
          <w:rFonts w:hint="eastAsia" w:ascii="仿宋_GB2312" w:eastAsia="仿宋_GB2312"/>
          <w:sz w:val="32"/>
          <w:szCs w:val="32"/>
        </w:rPr>
        <w:t>量清单；</w:t>
      </w:r>
    </w:p>
    <w:p>
      <w:pPr>
        <w:snapToGrid w:val="0"/>
        <w:spacing w:line="560" w:lineRule="exact"/>
        <w:ind w:firstLine="642" w:firstLineChars="200"/>
        <w:rPr>
          <w:rFonts w:ascii="仿宋_GB2312" w:eastAsia="仿宋_GB2312"/>
          <w:b/>
          <w:bCs/>
          <w:sz w:val="32"/>
          <w:szCs w:val="32"/>
        </w:rPr>
      </w:pPr>
      <w:r>
        <w:rPr>
          <w:rFonts w:hint="eastAsia" w:ascii="仿宋_GB2312" w:eastAsia="仿宋_GB2312"/>
          <w:b/>
          <w:bCs/>
          <w:sz w:val="32"/>
          <w:szCs w:val="32"/>
        </w:rPr>
        <w:t>2.</w:t>
      </w:r>
      <w:r>
        <w:rPr>
          <w:rFonts w:ascii="仿宋_GB2312" w:eastAsia="仿宋_GB2312"/>
          <w:b/>
          <w:bCs/>
          <w:sz w:val="32"/>
          <w:szCs w:val="32"/>
        </w:rPr>
        <w:t>知识产权运用：</w:t>
      </w:r>
    </w:p>
    <w:p>
      <w:pPr>
        <w:snapToGrid w:val="0"/>
        <w:spacing w:line="560" w:lineRule="exact"/>
        <w:ind w:firstLine="640" w:firstLineChars="200"/>
        <w:rPr>
          <w:rFonts w:ascii="仿宋_GB2312" w:eastAsia="仿宋_GB2312"/>
          <w:sz w:val="32"/>
          <w:szCs w:val="32"/>
        </w:rPr>
      </w:pPr>
      <w:r>
        <w:rPr>
          <w:rFonts w:ascii="仿宋_GB2312" w:eastAsia="仿宋_GB2312"/>
          <w:sz w:val="32"/>
          <w:szCs w:val="32"/>
        </w:rPr>
        <w:t>提交20</w:t>
      </w:r>
      <w:r>
        <w:rPr>
          <w:rFonts w:ascii="仿宋_GB2312" w:eastAsia="仿宋_GB2312"/>
          <w:color w:val="auto"/>
          <w:sz w:val="32"/>
          <w:szCs w:val="32"/>
        </w:rPr>
        <w:t>2</w:t>
      </w:r>
      <w:r>
        <w:rPr>
          <w:rFonts w:hint="eastAsia" w:ascii="仿宋_GB2312" w:eastAsia="仿宋_GB2312"/>
          <w:color w:val="auto"/>
          <w:sz w:val="32"/>
          <w:szCs w:val="32"/>
          <w:lang w:val="en-US" w:eastAsia="zh-CN"/>
        </w:rPr>
        <w:t>4</w:t>
      </w:r>
      <w:r>
        <w:rPr>
          <w:rFonts w:ascii="仿宋_GB2312" w:eastAsia="仿宋_GB2312"/>
          <w:color w:val="auto"/>
          <w:sz w:val="32"/>
          <w:szCs w:val="32"/>
        </w:rPr>
        <w:t>年</w:t>
      </w:r>
      <w:r>
        <w:rPr>
          <w:rFonts w:hint="eastAsia" w:ascii="仿宋_GB2312" w:eastAsia="仿宋_GB2312"/>
          <w:color w:val="auto"/>
          <w:sz w:val="32"/>
          <w:szCs w:val="32"/>
          <w:lang w:eastAsia="zh-CN"/>
        </w:rPr>
        <w:t>专利产品备案情况</w:t>
      </w:r>
      <w:r>
        <w:rPr>
          <w:rFonts w:ascii="仿宋_GB2312" w:hAnsi="宋体" w:eastAsia="仿宋_GB2312" w:cs="宋体"/>
          <w:color w:val="auto"/>
          <w:kern w:val="0"/>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w:t>
      </w:r>
      <w:r>
        <w:rPr>
          <w:rFonts w:ascii="仿宋_GB2312" w:eastAsia="仿宋_GB2312"/>
          <w:sz w:val="32"/>
          <w:szCs w:val="32"/>
        </w:rPr>
        <w:t>开展的知识产权</w:t>
      </w:r>
      <w:r>
        <w:rPr>
          <w:rFonts w:hint="eastAsia" w:ascii="仿宋_GB2312" w:eastAsia="仿宋_GB2312"/>
          <w:sz w:val="32"/>
          <w:szCs w:val="32"/>
        </w:rPr>
        <w:t>转让、许可、作价入股、质押融资</w:t>
      </w:r>
      <w:r>
        <w:rPr>
          <w:rFonts w:ascii="仿宋_GB2312" w:eastAsia="仿宋_GB2312"/>
          <w:sz w:val="32"/>
          <w:szCs w:val="32"/>
        </w:rPr>
        <w:t>、证券化</w:t>
      </w:r>
      <w:r>
        <w:rPr>
          <w:rFonts w:hint="eastAsia" w:ascii="仿宋_GB2312" w:eastAsia="仿宋_GB2312"/>
          <w:sz w:val="32"/>
          <w:szCs w:val="32"/>
        </w:rPr>
        <w:t>等成果转化的</w:t>
      </w:r>
      <w:r>
        <w:rPr>
          <w:rFonts w:ascii="仿宋_GB2312" w:eastAsia="仿宋_GB2312"/>
          <w:sz w:val="32"/>
          <w:szCs w:val="32"/>
        </w:rPr>
        <w:t>清单</w:t>
      </w:r>
      <w:r>
        <w:rPr>
          <w:rFonts w:hint="eastAsia" w:ascii="仿宋_GB2312" w:eastAsia="仿宋_GB2312"/>
          <w:sz w:val="32"/>
          <w:szCs w:val="32"/>
        </w:rPr>
        <w:t>，</w:t>
      </w:r>
      <w:r>
        <w:rPr>
          <w:rFonts w:ascii="仿宋_GB2312" w:eastAsia="仿宋_GB2312"/>
          <w:sz w:val="32"/>
          <w:szCs w:val="32"/>
        </w:rPr>
        <w:t>并</w:t>
      </w:r>
      <w:r>
        <w:rPr>
          <w:rFonts w:hint="eastAsia" w:ascii="仿宋_GB2312" w:eastAsia="仿宋_GB2312"/>
          <w:sz w:val="32"/>
          <w:szCs w:val="32"/>
        </w:rPr>
        <w:t>提供</w:t>
      </w:r>
      <w:r>
        <w:rPr>
          <w:rFonts w:ascii="仿宋_GB2312" w:eastAsia="仿宋_GB2312"/>
          <w:sz w:val="32"/>
          <w:szCs w:val="32"/>
        </w:rPr>
        <w:t>相关</w:t>
      </w:r>
      <w:r>
        <w:rPr>
          <w:rFonts w:hint="eastAsia" w:ascii="仿宋_GB2312" w:eastAsia="仿宋_GB2312"/>
          <w:sz w:val="32"/>
          <w:szCs w:val="32"/>
        </w:rPr>
        <w:t>的协议</w:t>
      </w:r>
      <w:r>
        <w:rPr>
          <w:rFonts w:ascii="仿宋_GB2312" w:eastAsia="仿宋_GB2312"/>
          <w:sz w:val="32"/>
          <w:szCs w:val="32"/>
        </w:rPr>
        <w:t>及</w:t>
      </w:r>
      <w:r>
        <w:rPr>
          <w:rFonts w:hint="eastAsia" w:ascii="仿宋_GB2312" w:eastAsia="仿宋_GB2312"/>
          <w:sz w:val="32"/>
          <w:szCs w:val="32"/>
        </w:rPr>
        <w:t>备案（登记）佐证材料；</w:t>
      </w:r>
    </w:p>
    <w:p>
      <w:pPr>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2023年-2024年获得</w:t>
      </w:r>
      <w:r>
        <w:rPr>
          <w:rFonts w:hint="eastAsia" w:ascii="仿宋_GB2312" w:hAnsi="宋体" w:eastAsia="仿宋_GB2312" w:cs="宋体"/>
          <w:b w:val="0"/>
          <w:bCs w:val="0"/>
          <w:color w:val="000000"/>
          <w:kern w:val="0"/>
          <w:sz w:val="32"/>
          <w:szCs w:val="32"/>
        </w:rPr>
        <w:t>中国/广东省/深圳市专利奖、</w:t>
      </w:r>
      <w:r>
        <w:rPr>
          <w:rFonts w:hint="eastAsia" w:ascii="仿宋_GB2312" w:eastAsia="仿宋_GB2312"/>
          <w:b w:val="0"/>
          <w:bCs w:val="0"/>
          <w:sz w:val="32"/>
          <w:szCs w:val="32"/>
          <w:lang w:val="en-US" w:eastAsia="zh-CN"/>
        </w:rPr>
        <w:t>中国商标金奖、中国版权金奖</w:t>
      </w:r>
      <w:r>
        <w:rPr>
          <w:rFonts w:hint="eastAsia" w:ascii="仿宋_GB2312" w:hAnsi="宋体" w:eastAsia="仿宋_GB2312" w:cs="宋体"/>
          <w:color w:val="000000"/>
          <w:kern w:val="0"/>
          <w:sz w:val="32"/>
          <w:szCs w:val="32"/>
        </w:rPr>
        <w:t>，被认定为国家专精特新“小巨人”、广东省/深圳市专精特新中小企业、</w:t>
      </w:r>
      <w:r>
        <w:rPr>
          <w:rFonts w:hint="eastAsia" w:ascii="仿宋_GB2312" w:hAnsi="宋体" w:eastAsia="仿宋_GB2312" w:cs="宋体"/>
          <w:color w:val="000000"/>
          <w:kern w:val="0"/>
          <w:sz w:val="32"/>
          <w:szCs w:val="32"/>
          <w:lang w:eastAsia="zh-CN"/>
        </w:rPr>
        <w:t>国家</w:t>
      </w:r>
      <w:r>
        <w:rPr>
          <w:rFonts w:hint="eastAsia" w:ascii="仿宋_GB2312" w:hAnsi="宋体" w:eastAsia="仿宋_GB2312" w:cs="宋体"/>
          <w:color w:val="000000"/>
          <w:kern w:val="0"/>
          <w:sz w:val="32"/>
          <w:szCs w:val="32"/>
          <w:lang w:val="en-US" w:eastAsia="zh-CN"/>
        </w:rPr>
        <w:t>/广东省/深圳市制造业</w:t>
      </w:r>
      <w:r>
        <w:rPr>
          <w:rFonts w:hint="eastAsia" w:ascii="仿宋_GB2312" w:hAnsi="宋体" w:eastAsia="仿宋_GB2312" w:cs="宋体"/>
          <w:color w:val="000000"/>
          <w:kern w:val="0"/>
          <w:sz w:val="32"/>
          <w:szCs w:val="32"/>
        </w:rPr>
        <w:t>单项冠军企业等奖励、资质或荣誉的</w:t>
      </w:r>
      <w:r>
        <w:rPr>
          <w:rFonts w:hint="eastAsia" w:ascii="仿宋_GB2312" w:hAnsi="宋体" w:eastAsia="仿宋_GB2312" w:cs="宋体"/>
          <w:b w:val="0"/>
          <w:color w:val="000000"/>
          <w:kern w:val="0"/>
          <w:sz w:val="32"/>
          <w:szCs w:val="32"/>
          <w:highlight w:val="none"/>
          <w:lang w:val="en-US" w:eastAsia="zh-CN" w:bidi="ar-SA"/>
        </w:rPr>
        <w:t>（除专利奖、科学技术奖外其他荣誉资质不限认定年份，但需在有效期内）</w:t>
      </w:r>
      <w:r>
        <w:rPr>
          <w:rFonts w:hint="eastAsia" w:ascii="仿宋_GB2312" w:hAnsi="宋体" w:eastAsia="仿宋_GB2312" w:cs="宋体"/>
          <w:color w:val="000000"/>
          <w:kern w:val="0"/>
          <w:sz w:val="32"/>
          <w:szCs w:val="32"/>
        </w:rPr>
        <w:t>，提供对应的佐证材料；</w:t>
      </w:r>
    </w:p>
    <w:p>
      <w:pPr>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提交其他申请人认为可证明知识产权运营工作取得较好成效的相关材料。</w:t>
      </w:r>
    </w:p>
    <w:p>
      <w:pPr>
        <w:snapToGrid w:val="0"/>
        <w:spacing w:line="560" w:lineRule="exact"/>
        <w:ind w:firstLine="642" w:firstLineChars="200"/>
        <w:rPr>
          <w:rFonts w:ascii="仿宋_GB2312" w:hAnsi="宋体" w:eastAsia="仿宋_GB2312" w:cs="宋体"/>
          <w:b/>
          <w:bCs/>
          <w:color w:val="000000"/>
          <w:kern w:val="0"/>
          <w:sz w:val="32"/>
          <w:szCs w:val="32"/>
        </w:rPr>
      </w:pPr>
      <w:r>
        <w:rPr>
          <w:rFonts w:ascii="仿宋_GB2312" w:hAnsi="宋体" w:eastAsia="仿宋_GB2312" w:cs="宋体"/>
          <w:b/>
          <w:bCs/>
          <w:color w:val="000000"/>
          <w:kern w:val="0"/>
          <w:sz w:val="32"/>
          <w:szCs w:val="32"/>
        </w:rPr>
        <w:t>3</w:t>
      </w:r>
      <w:r>
        <w:rPr>
          <w:rFonts w:hint="eastAsia" w:ascii="仿宋_GB2312" w:hAnsi="宋体" w:eastAsia="仿宋_GB2312" w:cs="宋体"/>
          <w:b/>
          <w:bCs/>
          <w:color w:val="000000"/>
          <w:kern w:val="0"/>
          <w:sz w:val="32"/>
          <w:szCs w:val="32"/>
        </w:rPr>
        <w:t>.</w:t>
      </w:r>
      <w:r>
        <w:rPr>
          <w:rFonts w:ascii="仿宋_GB2312" w:hAnsi="宋体" w:eastAsia="仿宋_GB2312" w:cs="宋体"/>
          <w:b/>
          <w:bCs/>
          <w:color w:val="000000"/>
          <w:kern w:val="0"/>
          <w:sz w:val="32"/>
          <w:szCs w:val="32"/>
        </w:rPr>
        <w:t>知识产权保护：</w:t>
      </w:r>
    </w:p>
    <w:p>
      <w:pPr>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1.提交</w:t>
      </w:r>
      <w:r>
        <w:rPr>
          <w:rFonts w:hint="eastAsia" w:ascii="仿宋_GB2312" w:hAnsi="宋体" w:eastAsia="仿宋_GB2312" w:cs="宋体"/>
          <w:color w:val="000000"/>
          <w:kern w:val="0"/>
          <w:sz w:val="32"/>
          <w:szCs w:val="32"/>
          <w:lang w:val="en-US" w:eastAsia="zh-CN"/>
        </w:rPr>
        <w:t>2023年-2024年</w:t>
      </w:r>
      <w:r>
        <w:rPr>
          <w:rFonts w:hint="eastAsia" w:ascii="仿宋_GB2312" w:hAnsi="宋体" w:eastAsia="仿宋_GB2312" w:cs="宋体"/>
          <w:color w:val="000000"/>
          <w:kern w:val="0"/>
          <w:sz w:val="32"/>
          <w:szCs w:val="32"/>
        </w:rPr>
        <w:t>有效处理国内国际知识产权产权纠纷获得赔偿（补偿）或者避免损失</w:t>
      </w:r>
      <w:r>
        <w:rPr>
          <w:rFonts w:hint="eastAsia" w:ascii="仿宋_GB2312" w:eastAsia="仿宋_GB2312" w:cs="Times New Roman"/>
          <w:b w:val="0"/>
          <w:kern w:val="2"/>
          <w:sz w:val="32"/>
          <w:szCs w:val="32"/>
          <w:highlight w:val="none"/>
          <w:lang w:val="en-US" w:eastAsia="zh-CN" w:bidi="ar-SA"/>
        </w:rPr>
        <w:t>的典型案例的佐证材料</w:t>
      </w:r>
      <w:r>
        <w:rPr>
          <w:rFonts w:hint="eastAsia" w:ascii="仿宋_GB2312" w:hAnsi="宋体" w:eastAsia="仿宋_GB2312" w:cs="宋体"/>
          <w:color w:val="000000"/>
          <w:kern w:val="0"/>
          <w:sz w:val="32"/>
          <w:szCs w:val="32"/>
        </w:rPr>
        <w:t>，形式包括但不限于行政裁决、司法诉讼、仲裁、和解等，提供相应的生效法律文书和相关材料；</w:t>
      </w:r>
    </w:p>
    <w:p>
      <w:pPr>
        <w:pStyle w:val="2"/>
        <w:ind w:firstLine="643"/>
        <w:rPr>
          <w:rFonts w:ascii="仿宋_GB2312" w:eastAsia="仿宋_GB2312"/>
          <w:b w:val="0"/>
          <w:bCs/>
          <w:sz w:val="32"/>
          <w:szCs w:val="32"/>
        </w:rPr>
      </w:pPr>
      <w:r>
        <w:rPr>
          <w:rFonts w:ascii="仿宋_GB2312" w:hAnsi="宋体" w:eastAsia="仿宋_GB2312" w:cs="宋体"/>
          <w:b w:val="0"/>
          <w:bCs/>
          <w:color w:val="000000"/>
          <w:sz w:val="32"/>
          <w:szCs w:val="32"/>
        </w:rPr>
        <w:t>2.提交申请人</w:t>
      </w:r>
      <w:r>
        <w:rPr>
          <w:rFonts w:hint="default" w:ascii="仿宋_GB2312" w:eastAsia="仿宋_GB2312"/>
          <w:b w:val="0"/>
          <w:bCs/>
          <w:sz w:val="32"/>
          <w:szCs w:val="32"/>
        </w:rPr>
        <w:t>建立和完善</w:t>
      </w:r>
      <w:r>
        <w:rPr>
          <w:rFonts w:ascii="仿宋_GB2312" w:eastAsia="仿宋_GB2312"/>
          <w:b w:val="0"/>
          <w:bCs/>
          <w:sz w:val="32"/>
          <w:szCs w:val="32"/>
        </w:rPr>
        <w:t>知识产权保护体系</w:t>
      </w:r>
      <w:r>
        <w:rPr>
          <w:rFonts w:hint="default" w:ascii="仿宋_GB2312" w:eastAsia="仿宋_GB2312"/>
          <w:b w:val="0"/>
          <w:bCs/>
          <w:sz w:val="32"/>
          <w:szCs w:val="32"/>
        </w:rPr>
        <w:t>的相关材料</w:t>
      </w:r>
      <w:r>
        <w:rPr>
          <w:rFonts w:ascii="仿宋_GB2312" w:eastAsia="仿宋_GB2312"/>
          <w:b w:val="0"/>
          <w:bCs/>
          <w:sz w:val="32"/>
          <w:szCs w:val="32"/>
        </w:rPr>
        <w:t>；</w:t>
      </w:r>
    </w:p>
    <w:p>
      <w:pPr>
        <w:pStyle w:val="2"/>
        <w:ind w:firstLine="640"/>
        <w:rPr>
          <w:rFonts w:ascii="仿宋_GB2312" w:hAnsi="宋体" w:eastAsia="仿宋_GB2312" w:cs="宋体"/>
          <w:color w:val="000000"/>
          <w:kern w:val="0"/>
          <w:sz w:val="32"/>
          <w:szCs w:val="32"/>
        </w:rPr>
      </w:pPr>
      <w:r>
        <w:rPr>
          <w:rFonts w:ascii="仿宋_GB2312" w:eastAsia="仿宋_GB2312"/>
          <w:b w:val="0"/>
          <w:kern w:val="2"/>
          <w:sz w:val="32"/>
          <w:szCs w:val="32"/>
        </w:rPr>
        <w:t>3</w:t>
      </w:r>
      <w:r>
        <w:rPr>
          <w:rFonts w:hint="default" w:ascii="仿宋_GB2312" w:eastAsia="仿宋_GB2312"/>
          <w:b w:val="0"/>
          <w:kern w:val="2"/>
          <w:sz w:val="32"/>
          <w:szCs w:val="32"/>
        </w:rPr>
        <w:t>.</w:t>
      </w:r>
      <w:r>
        <w:rPr>
          <w:rFonts w:hint="eastAsia" w:ascii="仿宋_GB2312" w:eastAsia="仿宋_GB2312"/>
          <w:b w:val="0"/>
          <w:kern w:val="2"/>
          <w:sz w:val="32"/>
          <w:szCs w:val="32"/>
          <w:lang w:eastAsia="zh-CN"/>
        </w:rPr>
        <w:t>提交</w:t>
      </w:r>
      <w:r>
        <w:rPr>
          <w:rFonts w:hint="eastAsia" w:ascii="仿宋_GB2312" w:eastAsia="仿宋_GB2312"/>
          <w:b w:val="0"/>
          <w:kern w:val="2"/>
          <w:sz w:val="32"/>
          <w:szCs w:val="32"/>
          <w:lang w:val="en-US" w:eastAsia="zh-CN"/>
        </w:rPr>
        <w:t>2023年-2024年</w:t>
      </w:r>
      <w:r>
        <w:rPr>
          <w:rFonts w:ascii="仿宋_GB2312" w:eastAsia="仿宋_GB2312"/>
          <w:b w:val="0"/>
          <w:kern w:val="2"/>
          <w:sz w:val="32"/>
          <w:szCs w:val="32"/>
        </w:rPr>
        <w:t>知识产权侵权预警和风险监控机制</w:t>
      </w:r>
      <w:r>
        <w:rPr>
          <w:rFonts w:hint="default" w:ascii="仿宋_GB2312" w:eastAsia="仿宋_GB2312"/>
          <w:b w:val="0"/>
          <w:kern w:val="2"/>
          <w:sz w:val="32"/>
          <w:szCs w:val="32"/>
        </w:rPr>
        <w:t>及</w:t>
      </w:r>
      <w:r>
        <w:rPr>
          <w:rFonts w:ascii="仿宋_GB2312" w:eastAsia="仿宋_GB2312"/>
          <w:b w:val="0"/>
          <w:kern w:val="2"/>
          <w:sz w:val="32"/>
          <w:szCs w:val="32"/>
        </w:rPr>
        <w:t>开展知识产权尽职调查、定期开展知识产权风险测评</w:t>
      </w:r>
      <w:r>
        <w:rPr>
          <w:rFonts w:hint="default" w:ascii="仿宋_GB2312" w:eastAsia="仿宋_GB2312"/>
          <w:b w:val="0"/>
          <w:kern w:val="2"/>
          <w:sz w:val="32"/>
          <w:szCs w:val="32"/>
        </w:rPr>
        <w:t>等相关材料。</w:t>
      </w:r>
    </w:p>
    <w:p>
      <w:pPr>
        <w:numPr>
          <w:ilvl w:val="0"/>
          <w:numId w:val="0"/>
        </w:numPr>
        <w:snapToGrid w:val="0"/>
        <w:spacing w:line="560" w:lineRule="exact"/>
        <w:ind w:firstLine="642" w:firstLineChars="200"/>
        <w:rPr>
          <w:rFonts w:ascii="楷体_GB2312" w:eastAsia="楷体_GB2312"/>
          <w:b/>
          <w:sz w:val="32"/>
          <w:szCs w:val="32"/>
        </w:rPr>
      </w:pPr>
      <w:r>
        <w:rPr>
          <w:rFonts w:hint="eastAsia" w:ascii="楷体_GB2312" w:eastAsia="楷体_GB2312"/>
          <w:b/>
          <w:sz w:val="32"/>
          <w:szCs w:val="32"/>
        </w:rPr>
        <w:t>（四）第三方机构依法出具的知识产权投入审计报告。</w:t>
      </w:r>
    </w:p>
    <w:p>
      <w:pPr>
        <w:numPr>
          <w:ilvl w:val="0"/>
          <w:numId w:val="0"/>
        </w:numPr>
        <w:snapToGrid w:val="0"/>
        <w:spacing w:line="560" w:lineRule="exact"/>
        <w:ind w:firstLine="640" w:firstLineChars="200"/>
        <w:rPr>
          <w:rFonts w:ascii="仿宋_GB2312" w:eastAsia="仿宋_GB2312"/>
          <w:sz w:val="32"/>
          <w:szCs w:val="32"/>
          <w:highlight w:val="yellow"/>
        </w:rPr>
      </w:pPr>
      <w:r>
        <w:rPr>
          <w:rFonts w:hint="eastAsia" w:ascii="仿宋_GB2312" w:eastAsia="仿宋_GB2312"/>
          <w:sz w:val="32"/>
          <w:szCs w:val="32"/>
        </w:rPr>
        <w:t>提交</w:t>
      </w:r>
      <w:r>
        <w:rPr>
          <w:rFonts w:ascii="仿宋_GB2312" w:eastAsia="仿宋_GB2312"/>
          <w:sz w:val="32"/>
          <w:szCs w:val="32"/>
        </w:rPr>
        <w:t>有资质的第三方机构</w:t>
      </w:r>
      <w:r>
        <w:rPr>
          <w:rFonts w:hint="eastAsia" w:ascii="仿宋_GB2312" w:eastAsia="仿宋_GB2312"/>
          <w:sz w:val="32"/>
          <w:szCs w:val="32"/>
        </w:rPr>
        <w:t>依法出具的知识产权投入</w:t>
      </w:r>
      <w:r>
        <w:rPr>
          <w:rFonts w:ascii="仿宋_GB2312" w:eastAsia="仿宋_GB2312"/>
          <w:sz w:val="32"/>
          <w:szCs w:val="32"/>
        </w:rPr>
        <w:t>审计</w:t>
      </w:r>
      <w:r>
        <w:rPr>
          <w:rFonts w:hint="eastAsia" w:ascii="仿宋_GB2312" w:eastAsia="仿宋_GB2312"/>
          <w:sz w:val="32"/>
          <w:szCs w:val="32"/>
        </w:rPr>
        <w:t>报告，其中需明确202</w:t>
      </w:r>
      <w:r>
        <w:rPr>
          <w:rFonts w:hint="eastAsia" w:ascii="仿宋_GB2312" w:eastAsia="仿宋_GB2312"/>
          <w:sz w:val="32"/>
          <w:szCs w:val="32"/>
          <w:lang w:val="en-US" w:eastAsia="zh-CN"/>
        </w:rPr>
        <w:t>4</w:t>
      </w:r>
      <w:r>
        <w:rPr>
          <w:rFonts w:hint="eastAsia" w:ascii="仿宋_GB2312" w:eastAsia="仿宋_GB2312"/>
          <w:sz w:val="32"/>
          <w:szCs w:val="32"/>
        </w:rPr>
        <w:t>年度对知识产权工作的投入（含知识产权人力成本、知识产权教育培训、知识产权信息化建设、知识产权保护/维权、知识产权申请官费及代理费、知识产权专业咨询等相关费用）和研发投入具体金额</w:t>
      </w:r>
      <w:r>
        <w:rPr>
          <w:rFonts w:ascii="仿宋_GB2312" w:eastAsia="仿宋_GB2312"/>
          <w:sz w:val="32"/>
          <w:szCs w:val="32"/>
        </w:rPr>
        <w:t>及占比</w:t>
      </w:r>
      <w:r>
        <w:rPr>
          <w:rFonts w:hint="eastAsia" w:ascii="仿宋_GB2312" w:eastAsia="仿宋_GB2312"/>
          <w:sz w:val="32"/>
          <w:szCs w:val="32"/>
        </w:rPr>
        <w:t>。</w:t>
      </w:r>
    </w:p>
    <w:p>
      <w:pPr>
        <w:numPr>
          <w:ilvl w:val="0"/>
          <w:numId w:val="0"/>
        </w:num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以上第（一）至第（四）项全部申请材料应当确保页面文字、公章、签名等实质性内容清晰可辨，各页面主要内容均为正向，不可横置或倒置。</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受理事宜</w:t>
      </w:r>
    </w:p>
    <w:p>
      <w:pPr>
        <w:snapToGrid w:val="0"/>
        <w:spacing w:line="560" w:lineRule="exact"/>
        <w:ind w:firstLine="642" w:firstLineChars="200"/>
        <w:rPr>
          <w:rFonts w:ascii="仿宋_GB2312" w:eastAsia="仿宋_GB2312"/>
          <w:sz w:val="32"/>
          <w:szCs w:val="32"/>
        </w:rPr>
      </w:pPr>
      <w:r>
        <w:rPr>
          <w:rFonts w:hint="eastAsia" w:ascii="楷体_GB2312" w:eastAsia="楷体_GB2312"/>
          <w:b/>
          <w:sz w:val="32"/>
          <w:szCs w:val="32"/>
        </w:rPr>
        <w:t>（一）受理机关：</w:t>
      </w:r>
      <w:r>
        <w:rPr>
          <w:rFonts w:hint="eastAsia" w:ascii="仿宋_GB2312" w:eastAsia="仿宋_GB2312"/>
          <w:sz w:val="32"/>
          <w:szCs w:val="32"/>
        </w:rPr>
        <w:t>深圳市市场监督管理局。</w:t>
      </w:r>
    </w:p>
    <w:p>
      <w:pPr>
        <w:snapToGrid w:val="0"/>
        <w:spacing w:line="560" w:lineRule="exact"/>
        <w:ind w:firstLine="642" w:firstLineChars="200"/>
        <w:jc w:val="left"/>
        <w:rPr>
          <w:rFonts w:ascii="仿宋_GB2312" w:eastAsia="仿宋_GB2312"/>
          <w:sz w:val="32"/>
          <w:szCs w:val="32"/>
        </w:rPr>
      </w:pPr>
      <w:r>
        <w:rPr>
          <w:rFonts w:hint="eastAsia" w:ascii="楷体_GB2312" w:eastAsia="楷体_GB2312"/>
          <w:b/>
          <w:sz w:val="32"/>
          <w:szCs w:val="32"/>
        </w:rPr>
        <w:t>（二）受理时间：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日9:00至202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日18:00</w:t>
      </w:r>
      <w:r>
        <w:rPr>
          <w:rFonts w:hint="eastAsia" w:ascii="仿宋_GB2312" w:eastAsia="仿宋_GB2312"/>
          <w:color w:val="auto"/>
          <w:sz w:val="32"/>
          <w:szCs w:val="32"/>
        </w:rPr>
        <w:t>。</w:t>
      </w:r>
    </w:p>
    <w:p>
      <w:pPr>
        <w:numPr>
          <w:ilvl w:val="0"/>
          <w:numId w:val="0"/>
        </w:numPr>
        <w:snapToGrid w:val="0"/>
        <w:spacing w:line="560" w:lineRule="exact"/>
        <w:ind w:firstLine="642" w:firstLineChars="200"/>
        <w:rPr>
          <w:rFonts w:ascii="楷体_GB2312" w:eastAsia="楷体_GB2312"/>
          <w:b/>
          <w:sz w:val="32"/>
          <w:szCs w:val="32"/>
        </w:rPr>
      </w:pPr>
      <w:r>
        <w:rPr>
          <w:rFonts w:hint="eastAsia" w:ascii="楷体_GB2312" w:eastAsia="楷体_GB2312"/>
          <w:b/>
          <w:sz w:val="32"/>
          <w:szCs w:val="32"/>
        </w:rPr>
        <w:t>（三）申报方式</w:t>
      </w:r>
    </w:p>
    <w:p>
      <w:pPr>
        <w:numPr>
          <w:ilvl w:val="0"/>
          <w:numId w:val="0"/>
        </w:numPr>
        <w:snapToGrid w:val="0"/>
        <w:spacing w:line="560" w:lineRule="exact"/>
        <w:ind w:firstLine="640" w:firstLineChars="200"/>
        <w:rPr>
          <w:rFonts w:ascii="仿宋_GB2312" w:eastAsia="仿宋_GB2312"/>
          <w:color w:val="auto"/>
          <w:kern w:val="0"/>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本</w:t>
      </w:r>
      <w:r>
        <w:rPr>
          <w:rFonts w:hint="eastAsia" w:ascii="仿宋_GB2312" w:eastAsia="仿宋_GB2312"/>
          <w:color w:val="auto"/>
          <w:sz w:val="32"/>
          <w:szCs w:val="32"/>
          <w:lang w:eastAsia="zh-CN"/>
        </w:rPr>
        <w:t>项目</w:t>
      </w:r>
      <w:r>
        <w:rPr>
          <w:rFonts w:hint="eastAsia" w:ascii="仿宋_GB2312" w:eastAsia="仿宋_GB2312"/>
          <w:color w:val="auto"/>
          <w:sz w:val="32"/>
          <w:szCs w:val="32"/>
        </w:rPr>
        <w:t>实行网上申报，申报</w:t>
      </w:r>
      <w:r>
        <w:rPr>
          <w:rFonts w:hint="eastAsia" w:ascii="仿宋_GB2312" w:eastAsia="仿宋_GB2312"/>
          <w:color w:val="auto"/>
          <w:sz w:val="32"/>
          <w:szCs w:val="32"/>
          <w:lang w:eastAsia="zh-CN"/>
        </w:rPr>
        <w:t>人需进入广东政务服务网</w:t>
      </w:r>
      <w:r>
        <w:rPr>
          <w:rFonts w:hint="eastAsia" w:ascii="仿宋_GB2312" w:eastAsia="仿宋_GB2312"/>
          <w:color w:val="auto"/>
          <w:kern w:val="0"/>
          <w:sz w:val="32"/>
          <w:szCs w:val="32"/>
          <w:lang w:eastAsia="zh-CN"/>
        </w:rPr>
        <w:t>（</w:t>
      </w:r>
      <w:r>
        <w:rPr>
          <w:rFonts w:hint="eastAsia" w:ascii="仿宋_GB2312" w:eastAsia="仿宋_GB2312"/>
          <w:color w:val="auto"/>
          <w:sz w:val="32"/>
          <w:szCs w:val="32"/>
          <w:highlight w:val="none"/>
          <w:lang w:eastAsia="zh-CN"/>
        </w:rPr>
        <w:t>http://wsbs.sz.gov.cn/apply/ui/MB2C927393442125181001440300，建议使用浏览器：谷歌Chrome、微软Edge、360极速浏览器）</w:t>
      </w:r>
      <w:r>
        <w:rPr>
          <w:rFonts w:hint="eastAsia" w:ascii="仿宋_GB2312" w:eastAsia="仿宋_GB2312"/>
          <w:color w:val="auto"/>
          <w:kern w:val="2"/>
          <w:sz w:val="32"/>
          <w:szCs w:val="32"/>
          <w:lang w:val="en" w:eastAsia="zh-CN"/>
        </w:rPr>
        <w:t>。登录申报系统后，在“选择办理情形”模块选择拟申报项目，选中后进入申报页面。</w:t>
      </w:r>
      <w:r>
        <w:rPr>
          <w:rFonts w:ascii="仿宋_GB2312" w:eastAsia="仿宋_GB2312"/>
          <w:color w:val="auto"/>
          <w:kern w:val="0"/>
          <w:sz w:val="32"/>
          <w:szCs w:val="32"/>
        </w:rPr>
        <w:t>将本指南要求的</w:t>
      </w:r>
      <w:r>
        <w:rPr>
          <w:rFonts w:hint="eastAsia" w:ascii="仿宋_GB2312" w:eastAsia="仿宋_GB2312"/>
          <w:color w:val="auto"/>
          <w:kern w:val="0"/>
          <w:sz w:val="32"/>
          <w:szCs w:val="32"/>
        </w:rPr>
        <w:t>全部</w:t>
      </w:r>
      <w:r>
        <w:rPr>
          <w:rFonts w:ascii="仿宋_GB2312" w:eastAsia="仿宋_GB2312"/>
          <w:color w:val="auto"/>
          <w:kern w:val="0"/>
          <w:sz w:val="32"/>
          <w:szCs w:val="32"/>
        </w:rPr>
        <w:t>申</w:t>
      </w:r>
      <w:r>
        <w:rPr>
          <w:rFonts w:hint="eastAsia" w:ascii="仿宋_GB2312" w:eastAsia="仿宋_GB2312"/>
          <w:color w:val="auto"/>
          <w:kern w:val="0"/>
          <w:sz w:val="32"/>
          <w:szCs w:val="32"/>
        </w:rPr>
        <w:t>请</w:t>
      </w:r>
      <w:r>
        <w:rPr>
          <w:rFonts w:ascii="仿宋_GB2312" w:eastAsia="仿宋_GB2312"/>
          <w:color w:val="auto"/>
          <w:kern w:val="0"/>
          <w:sz w:val="32"/>
          <w:szCs w:val="32"/>
        </w:rPr>
        <w:t>材料按照申报系统中的</w:t>
      </w:r>
      <w:r>
        <w:rPr>
          <w:rFonts w:hint="eastAsia" w:ascii="仿宋_GB2312" w:eastAsia="仿宋_GB2312"/>
          <w:color w:val="auto"/>
          <w:kern w:val="0"/>
          <w:sz w:val="32"/>
          <w:szCs w:val="32"/>
        </w:rPr>
        <w:t>有关</w:t>
      </w:r>
      <w:r>
        <w:rPr>
          <w:rFonts w:ascii="仿宋_GB2312" w:eastAsia="仿宋_GB2312"/>
          <w:color w:val="auto"/>
          <w:kern w:val="0"/>
          <w:sz w:val="32"/>
          <w:szCs w:val="32"/>
        </w:rPr>
        <w:t>提示要求</w:t>
      </w:r>
      <w:r>
        <w:rPr>
          <w:rFonts w:hint="eastAsia" w:ascii="仿宋_GB2312" w:eastAsia="仿宋_GB2312"/>
          <w:color w:val="auto"/>
          <w:kern w:val="0"/>
          <w:sz w:val="32"/>
          <w:szCs w:val="32"/>
        </w:rPr>
        <w:t>分别</w:t>
      </w:r>
      <w:r>
        <w:rPr>
          <w:rFonts w:ascii="仿宋_GB2312" w:eastAsia="仿宋_GB2312"/>
          <w:color w:val="auto"/>
          <w:kern w:val="0"/>
          <w:sz w:val="32"/>
          <w:szCs w:val="32"/>
        </w:rPr>
        <w:t>上传。</w:t>
      </w:r>
    </w:p>
    <w:p>
      <w:pPr>
        <w:numPr>
          <w:ilvl w:val="0"/>
          <w:numId w:val="0"/>
        </w:numPr>
        <w:snapToGrid w:val="0"/>
        <w:spacing w:line="560" w:lineRule="exact"/>
        <w:ind w:firstLine="640" w:firstLineChars="200"/>
      </w:pPr>
      <w:r>
        <w:rPr>
          <w:rFonts w:hint="eastAsia" w:ascii="仿宋_GB2312" w:eastAsia="仿宋_GB2312"/>
          <w:color w:val="auto"/>
          <w:kern w:val="0"/>
          <w:sz w:val="32"/>
          <w:szCs w:val="32"/>
        </w:rPr>
        <w:t>广东政务服务网已与深圳市财政专项资金统一管理平台</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https://cqt.szfb.sz.gov.cn/#/home</w:t>
      </w:r>
      <w:r>
        <w:rPr>
          <w:rFonts w:hint="eastAsia" w:ascii="仿宋_GB2312" w:eastAsia="仿宋_GB2312"/>
          <w:color w:val="auto"/>
          <w:kern w:val="0"/>
          <w:sz w:val="32"/>
          <w:szCs w:val="32"/>
          <w:lang w:eastAsia="zh-CN"/>
        </w:rPr>
        <w:t>）实现</w:t>
      </w:r>
      <w:r>
        <w:rPr>
          <w:rFonts w:hint="eastAsia" w:ascii="仿宋_GB2312" w:eastAsia="仿宋_GB2312"/>
          <w:color w:val="auto"/>
          <w:kern w:val="0"/>
          <w:sz w:val="32"/>
          <w:szCs w:val="32"/>
        </w:rPr>
        <w:t>信息对接，申请人可使用广东政务服务网账户密码登录深圳市财政专项资金统一管理平台，在</w:t>
      </w:r>
      <w:r>
        <w:rPr>
          <w:rFonts w:hint="eastAsia" w:ascii="仿宋_GB2312" w:eastAsia="仿宋_GB2312"/>
          <w:color w:val="auto"/>
          <w:kern w:val="0"/>
          <w:sz w:val="32"/>
          <w:szCs w:val="32"/>
          <w:lang w:eastAsia="zh-CN"/>
        </w:rPr>
        <w:t>该平台进行材料补正及审批进度查询</w:t>
      </w:r>
      <w:r>
        <w:rPr>
          <w:rFonts w:hint="eastAsia" w:ascii="仿宋_GB2312" w:eastAsia="仿宋_GB2312"/>
          <w:color w:val="auto"/>
          <w:kern w:val="0"/>
          <w:sz w:val="32"/>
          <w:szCs w:val="32"/>
        </w:rPr>
        <w:t>。</w:t>
      </w:r>
    </w:p>
    <w:p>
      <w:pPr>
        <w:snapToGrid w:val="0"/>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申报系统技术支持电话</w:t>
      </w:r>
    </w:p>
    <w:p>
      <w:pPr>
        <w:snapToGrid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 w:eastAsia="zh-CN"/>
        </w:rPr>
        <w:t>）申报系统账号登录异常及五级（原</w:t>
      </w:r>
      <w:r>
        <w:rPr>
          <w:rFonts w:hint="eastAsia" w:ascii="仿宋_GB2312" w:hAnsi="仿宋_GB2312" w:eastAsia="仿宋_GB2312" w:cs="仿宋_GB2312"/>
          <w:color w:val="auto"/>
          <w:sz w:val="32"/>
          <w:szCs w:val="32"/>
          <w:lang w:val="en-US" w:eastAsia="zh-CN"/>
        </w:rPr>
        <w:t>L3</w:t>
      </w:r>
      <w:r>
        <w:rPr>
          <w:rFonts w:hint="eastAsia" w:ascii="仿宋_GB2312" w:hAnsi="仿宋_GB2312" w:eastAsia="仿宋_GB2312" w:cs="仿宋_GB2312"/>
          <w:color w:val="auto"/>
          <w:sz w:val="32"/>
          <w:szCs w:val="32"/>
          <w:lang w:val="en" w:eastAsia="zh-CN"/>
        </w:rPr>
        <w:t>）实名核验问题（广东政务服务网）：</w:t>
      </w:r>
      <w:r>
        <w:rPr>
          <w:rFonts w:hint="eastAsia" w:ascii="仿宋_GB2312" w:hAnsi="仿宋_GB2312" w:eastAsia="仿宋_GB2312" w:cs="仿宋_GB2312"/>
          <w:color w:val="auto"/>
          <w:sz w:val="32"/>
          <w:szCs w:val="32"/>
          <w:lang w:val="en-US" w:eastAsia="zh-CN"/>
        </w:rPr>
        <w:t>020-29859688-68016；</w:t>
      </w:r>
    </w:p>
    <w:p>
      <w:pPr>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 w:eastAsia="zh-CN"/>
        </w:rPr>
        <w:t>）审批进度、材料补正（深圳市财政专项资金统一管理平台）：</w:t>
      </w:r>
      <w:r>
        <w:rPr>
          <w:rFonts w:hint="eastAsia" w:ascii="仿宋_GB2312" w:hAnsi="仿宋_GB2312" w:eastAsia="仿宋_GB2312" w:cs="仿宋_GB2312"/>
          <w:color w:val="auto"/>
          <w:sz w:val="32"/>
          <w:szCs w:val="32"/>
          <w:lang w:val="en-US" w:eastAsia="zh-CN"/>
        </w:rPr>
        <w:t>0755-27038037</w:t>
      </w:r>
      <w:r>
        <w:rPr>
          <w:rFonts w:hint="eastAsia" w:ascii="仿宋_GB2312" w:hAnsi="仿宋_GB2312" w:eastAsia="仿宋_GB2312" w:cs="仿宋_GB2312"/>
          <w:color w:val="auto"/>
          <w:sz w:val="32"/>
          <w:szCs w:val="32"/>
        </w:rPr>
        <w:t>。</w:t>
      </w:r>
    </w:p>
    <w:p>
      <w:pPr>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eastAsia="zh-CN"/>
        </w:rPr>
        <w:t>）材料补正及查看审批进度（深圳市财政专项资金统一管理平台）：</w:t>
      </w:r>
      <w:r>
        <w:rPr>
          <w:rFonts w:hint="eastAsia" w:ascii="仿宋_GB2312" w:hAnsi="仿宋_GB2312" w:eastAsia="仿宋_GB2312" w:cs="仿宋_GB2312"/>
          <w:color w:val="auto"/>
          <w:sz w:val="32"/>
          <w:szCs w:val="32"/>
          <w:lang w:val="en-US" w:eastAsia="zh-CN"/>
        </w:rPr>
        <w:t>0755-27038037</w:t>
      </w:r>
      <w:r>
        <w:rPr>
          <w:rFonts w:hint="eastAsia" w:ascii="仿宋_GB2312" w:hAnsi="仿宋_GB2312" w:eastAsia="仿宋_GB2312" w:cs="仿宋_GB2312"/>
          <w:color w:val="auto"/>
          <w:sz w:val="32"/>
          <w:szCs w:val="32"/>
        </w:rPr>
        <w:t>。</w:t>
      </w:r>
    </w:p>
    <w:p>
      <w:pPr>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申报业务</w:t>
      </w:r>
      <w:r>
        <w:rPr>
          <w:rFonts w:hint="eastAsia" w:ascii="仿宋_GB2312" w:eastAsia="仿宋_GB2312"/>
          <w:color w:val="auto"/>
          <w:sz w:val="32"/>
          <w:szCs w:val="32"/>
          <w:lang w:eastAsia="zh-CN"/>
        </w:rPr>
        <w:t>及材料要求</w:t>
      </w:r>
      <w:r>
        <w:rPr>
          <w:rFonts w:hint="eastAsia" w:ascii="仿宋_GB2312" w:eastAsia="仿宋_GB2312"/>
          <w:color w:val="auto"/>
          <w:sz w:val="32"/>
          <w:szCs w:val="32"/>
        </w:rPr>
        <w:t>咨询电话</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0755-83070752</w:t>
      </w:r>
      <w:r>
        <w:rPr>
          <w:rFonts w:hint="eastAsia" w:ascii="仿宋_GB2312" w:hAnsi="仿宋_GB2312" w:eastAsia="仿宋_GB2312" w:cs="仿宋_GB2312"/>
          <w:color w:val="auto"/>
          <w:sz w:val="32"/>
          <w:szCs w:val="32"/>
        </w:rPr>
        <w:t>。</w:t>
      </w:r>
    </w:p>
    <w:p>
      <w:pPr>
        <w:numPr>
          <w:ilvl w:val="0"/>
          <w:numId w:val="0"/>
        </w:numPr>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办公时间：星期一至星期五（法定节假日除外）上午09:00-12:00，下午14:00-18:00</w:t>
      </w:r>
      <w:r>
        <w:rPr>
          <w:rFonts w:hint="eastAsia" w:ascii="仿宋_GB2312" w:eastAsia="仿宋_GB2312"/>
          <w:sz w:val="32"/>
          <w:szCs w:val="32"/>
        </w:rPr>
        <w:t>。</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cs="仿宋_GB2312"/>
          <w:bCs/>
          <w:sz w:val="32"/>
          <w:szCs w:val="32"/>
        </w:rPr>
        <w:t>决定机关</w:t>
      </w:r>
    </w:p>
    <w:p>
      <w:pPr>
        <w:snapToGrid w:val="0"/>
        <w:spacing w:line="560" w:lineRule="exact"/>
        <w:ind w:firstLine="640" w:firstLineChars="200"/>
        <w:rPr>
          <w:rFonts w:eastAsia="仿宋_GB2312"/>
          <w:sz w:val="32"/>
        </w:rPr>
      </w:pPr>
      <w:r>
        <w:rPr>
          <w:rFonts w:hint="eastAsia" w:eastAsia="仿宋_GB2312"/>
          <w:sz w:val="32"/>
        </w:rPr>
        <w:t>深圳市市场监督管理局</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办理程序与注意事项</w:t>
      </w:r>
    </w:p>
    <w:p>
      <w:pPr>
        <w:pStyle w:val="6"/>
        <w:numPr>
          <w:ilvl w:val="0"/>
          <w:numId w:val="0"/>
        </w:numPr>
        <w:snapToGrid w:val="0"/>
        <w:spacing w:line="560" w:lineRule="exact"/>
        <w:ind w:firstLine="642" w:firstLineChars="200"/>
        <w:rPr>
          <w:rFonts w:ascii="楷体_GB2312" w:eastAsia="楷体_GB2312"/>
          <w:sz w:val="32"/>
        </w:rPr>
      </w:pPr>
      <w:r>
        <w:rPr>
          <w:rFonts w:hint="eastAsia" w:ascii="楷体_GB2312" w:eastAsia="楷体_GB2312"/>
          <w:b/>
          <w:sz w:val="32"/>
        </w:rPr>
        <w:t>（一）办理程序</w:t>
      </w:r>
    </w:p>
    <w:p>
      <w:pPr>
        <w:numPr>
          <w:ilvl w:val="0"/>
          <w:numId w:val="0"/>
        </w:numPr>
        <w:snapToGrid w:val="0"/>
        <w:spacing w:line="560" w:lineRule="exact"/>
        <w:ind w:firstLine="640" w:firstLineChars="200"/>
        <w:rPr>
          <w:rFonts w:ascii="仿宋_GB2312" w:eastAsia="仿宋_GB2312"/>
          <w:sz w:val="32"/>
        </w:rPr>
      </w:pPr>
      <w:r>
        <w:rPr>
          <w:rFonts w:hint="eastAsia" w:ascii="仿宋_GB2312" w:eastAsia="仿宋_GB2312"/>
          <w:sz w:val="32"/>
        </w:rPr>
        <w:t>市市场监管局发布年度申报指南（通知）——申请人网上申报（通过申报系统在线提交电子申请材料）——市市场监管局受理初审（含可能发生的补正程序）——专家评审——</w:t>
      </w:r>
      <w:r>
        <w:rPr>
          <w:rFonts w:ascii="仿宋_GB2312" w:eastAsia="仿宋_GB2312"/>
          <w:sz w:val="32"/>
        </w:rPr>
        <w:t>会同</w:t>
      </w:r>
      <w:r>
        <w:rPr>
          <w:rFonts w:hint="eastAsia" w:ascii="仿宋_GB2312" w:eastAsia="仿宋_GB2312"/>
          <w:sz w:val="32"/>
        </w:rPr>
        <w:t>相关部门核对数据、核查诚信情况</w:t>
      </w:r>
      <w:r>
        <w:rPr>
          <w:rFonts w:ascii="仿宋_GB2312" w:eastAsia="仿宋_GB2312"/>
          <w:sz w:val="32"/>
        </w:rPr>
        <w:t>和重复资助情况</w:t>
      </w:r>
      <w:r>
        <w:rPr>
          <w:rFonts w:hint="eastAsia" w:ascii="仿宋_GB2312" w:eastAsia="仿宋_GB2312"/>
          <w:sz w:val="32"/>
        </w:rPr>
        <w:t>——</w:t>
      </w:r>
      <w:r>
        <w:rPr>
          <w:rFonts w:hint="eastAsia" w:ascii="仿宋_GB2312" w:hAnsi="仿宋_GB2312" w:eastAsia="仿宋_GB2312" w:cs="仿宋_GB2312"/>
          <w:sz w:val="32"/>
          <w:szCs w:val="32"/>
        </w:rPr>
        <w:t>集体研究决策</w:t>
      </w:r>
      <w:r>
        <w:rPr>
          <w:rFonts w:hint="eastAsia" w:ascii="仿宋_GB2312" w:eastAsia="仿宋_GB2312"/>
          <w:sz w:val="32"/>
        </w:rPr>
        <w:t>——公示（</w:t>
      </w:r>
      <w:r>
        <w:rPr>
          <w:rFonts w:ascii="仿宋_GB2312" w:eastAsia="仿宋_GB2312"/>
          <w:sz w:val="32"/>
        </w:rPr>
        <w:t>5个工作日）</w:t>
      </w:r>
      <w:r>
        <w:rPr>
          <w:rFonts w:hint="eastAsia" w:ascii="仿宋_GB2312" w:eastAsia="仿宋_GB2312"/>
          <w:sz w:val="32"/>
        </w:rPr>
        <w:t>——财政资金预算申请——资金拨付。</w:t>
      </w:r>
    </w:p>
    <w:p>
      <w:pPr>
        <w:pStyle w:val="6"/>
        <w:numPr>
          <w:ilvl w:val="0"/>
          <w:numId w:val="0"/>
        </w:numPr>
        <w:snapToGrid w:val="0"/>
        <w:spacing w:line="560" w:lineRule="exact"/>
        <w:ind w:firstLine="642" w:firstLineChars="200"/>
        <w:rPr>
          <w:rFonts w:ascii="楷体_GB2312" w:eastAsia="楷体_GB2312"/>
          <w:sz w:val="32"/>
        </w:rPr>
      </w:pPr>
      <w:r>
        <w:rPr>
          <w:rFonts w:hint="eastAsia" w:ascii="楷体_GB2312" w:eastAsia="楷体_GB2312"/>
          <w:b/>
          <w:sz w:val="32"/>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eastAsia="仿宋_GB2312"/>
          <w:b/>
          <w:bCs w:val="0"/>
          <w:sz w:val="32"/>
          <w:szCs w:val="32"/>
          <w:highlight w:val="none"/>
        </w:rPr>
        <w:t>申请人</w:t>
      </w:r>
      <w:r>
        <w:rPr>
          <w:rFonts w:hint="eastAsia" w:ascii="仿宋_GB2312" w:eastAsia="仿宋_GB2312"/>
          <w:b/>
          <w:bCs w:val="0"/>
          <w:sz w:val="32"/>
          <w:szCs w:val="32"/>
          <w:highlight w:val="none"/>
          <w:lang w:eastAsia="zh-CN"/>
        </w:rPr>
        <w:t>应为正常经营状态，并通过上述申报平台自行申报。</w:t>
      </w:r>
      <w:r>
        <w:rPr>
          <w:rFonts w:ascii="仿宋_GB2312" w:eastAsia="仿宋_GB2312"/>
          <w:b w:val="0"/>
          <w:bCs/>
          <w:sz w:val="32"/>
          <w:szCs w:val="32"/>
        </w:rPr>
        <w:t>申请人广东政务服务网账户等级须达到五级（原</w:t>
      </w:r>
      <w:r>
        <w:rPr>
          <w:rFonts w:hint="default" w:ascii="仿宋_GB2312" w:eastAsia="仿宋_GB2312"/>
          <w:b w:val="0"/>
          <w:bCs/>
          <w:sz w:val="32"/>
          <w:szCs w:val="32"/>
        </w:rPr>
        <w:t>L3级别）核验方可进行申报。</w:t>
      </w:r>
      <w:r>
        <w:rPr>
          <w:rFonts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eastAsia="仿宋_GB2312"/>
          <w:sz w:val="32"/>
          <w:szCs w:val="32"/>
        </w:rPr>
        <w:t>严格按照申报系统有关提示进行填报，</w:t>
      </w:r>
      <w:r>
        <w:rPr>
          <w:rFonts w:hint="eastAsia" w:ascii="仿宋_GB2312" w:hAnsi="仿宋_GB2312" w:eastAsia="仿宋_GB2312" w:cs="仿宋_GB2312"/>
          <w:sz w:val="32"/>
          <w:szCs w:val="32"/>
        </w:rPr>
        <w:t>深圳市知识产权主管部门对申请材料进行受理和初审，申请材料不完善的，限期予以补正；申请人应按要求进行补正，未按要求补正材料或补正材料未通过审核的，不予资助或奖励。</w:t>
      </w:r>
    </w:p>
    <w:p>
      <w:pPr>
        <w:numPr>
          <w:ilvl w:val="0"/>
          <w:numId w:val="0"/>
        </w:numPr>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rPr>
        <w:t>4.</w:t>
      </w:r>
      <w:r>
        <w:rPr>
          <w:rFonts w:hint="eastAsia" w:ascii="仿宋_GB2312" w:hAnsi="仿宋_GB2312" w:eastAsia="仿宋_GB2312" w:cs="仿宋_GB2312"/>
          <w:sz w:val="32"/>
          <w:szCs w:val="32"/>
        </w:rPr>
        <w:t>本年度受理的专项资金项目资助发放时间及金额将根据市财政预算实际下达情况而定。项目经审核后应资助(奖励)总金额超出对应项目年度预算上限的，按照对应预算金额除以应资助(奖励)总金额的比例进行折算，以此确定实际资助(奖励)金额。</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合规提示</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rPr>
        <w:t>《深圳市市场监督管理局知识产权领域专项资金操作规程》第三十七条规定：申请人应对提交的申请材料真实性、合法性、有效性负责。申请人利用虚假材料或通过其他不正当行为骗取、套取、虚报、冒领、截留、挪用专项资金或者违反其他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rPr>
        <w:t>《深圳市市场监督管理局知识产权领域专项资金操作规程》第三十八条规定：受委托的第三方审计机构或专业机构在审计或核验过程中，存在弄虚作假、隐瞒事实真相或与受资助单位串通作弊并出具相关报告情形的，按照有关规定追究责任。</w:t>
      </w:r>
    </w:p>
    <w:p>
      <w:pPr>
        <w:pStyle w:val="3"/>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rPr>
        <w:t>（三）《深圳市市场监督管理局知识产权领域专项资金操作规程》第三十九条规定：第三方中介机构不得违规代理本规程资助奖励项目申领事宜。</w:t>
      </w:r>
    </w:p>
    <w:p>
      <w:pPr>
        <w:pStyle w:val="3"/>
        <w:snapToGrid w:val="0"/>
        <w:spacing w:before="0" w:beforeAutospacing="0" w:after="0" w:afterAutospacing="0" w:line="560" w:lineRule="exact"/>
        <w:ind w:firstLine="640" w:firstLineChars="200"/>
        <w:jc w:val="both"/>
        <w:rPr>
          <w:rFonts w:hint="default"/>
        </w:rPr>
      </w:pPr>
      <w:r>
        <w:rPr>
          <w:rFonts w:ascii="仿宋_GB2312" w:eastAsia="仿宋_GB2312"/>
          <w:b w:val="0"/>
          <w:sz w:val="32"/>
          <w:szCs w:val="32"/>
        </w:rPr>
        <w:t>（四）根据上述规定，申请人申请资助时必须作出合规承诺（在申报系统中操作），否则不予受理。</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年审或年检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ascii="仿宋_GB2312" w:eastAsia="仿宋_GB2312"/>
          <w:sz w:val="32"/>
          <w:szCs w:val="32"/>
        </w:rPr>
        <w:t>无年审、年检</w:t>
      </w:r>
      <w:r>
        <w:rPr>
          <w:rFonts w:hint="eastAsia" w:ascii="仿宋_GB2312" w:eastAsia="仿宋_GB2312"/>
          <w:sz w:val="32"/>
          <w:szCs w:val="32"/>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6730B"/>
    <w:multiLevelType w:val="singleLevel"/>
    <w:tmpl w:val="ABF6730B"/>
    <w:lvl w:ilvl="0" w:tentative="0">
      <w:start w:val="1"/>
      <w:numFmt w:val="chineseCounting"/>
      <w:suff w:val="nothing"/>
      <w:lvlText w:val="（%1）"/>
      <w:lvlJc w:val="left"/>
      <w:rPr>
        <w:rFonts w:hint="eastAsia"/>
      </w:rPr>
    </w:lvl>
  </w:abstractNum>
  <w:abstractNum w:abstractNumId="1">
    <w:nsid w:val="E1683D1A"/>
    <w:multiLevelType w:val="singleLevel"/>
    <w:tmpl w:val="E1683D1A"/>
    <w:lvl w:ilvl="0" w:tentative="0">
      <w:start w:val="1"/>
      <w:numFmt w:val="chineseCounting"/>
      <w:suff w:val="nothing"/>
      <w:lvlText w:val="（%1）"/>
      <w:lvlJc w:val="left"/>
      <w:rPr>
        <w:rFonts w:hint="eastAsia"/>
      </w:rPr>
    </w:lvl>
  </w:abstractNum>
  <w:abstractNum w:abstractNumId="2">
    <w:nsid w:val="78DF5BA5"/>
    <w:multiLevelType w:val="multilevel"/>
    <w:tmpl w:val="78DF5BA5"/>
    <w:lvl w:ilvl="0" w:tentative="0">
      <w:start w:val="1"/>
      <w:numFmt w:val="japaneseCounting"/>
      <w:lvlText w:val="%1、"/>
      <w:lvlJc w:val="left"/>
      <w:pPr>
        <w:ind w:left="2351"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3F2BAA"/>
    <w:rsid w:val="1DF31C96"/>
    <w:rsid w:val="2FEF4A2B"/>
    <w:rsid w:val="57FB3A56"/>
    <w:rsid w:val="FA3F2B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ind w:firstLine="880" w:firstLineChars="200"/>
      <w:outlineLvl w:val="1"/>
    </w:pPr>
    <w:rPr>
      <w:rFonts w:hint="eastAsia" w:ascii="Times New Roman" w:hAnsi="Times New Roman" w:eastAsia="楷体"/>
      <w:b/>
      <w:kern w:val="0"/>
      <w:szCs w:val="36"/>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2025-04-24T10:04:00Z</dcterms:created>
  <dc:creator>liuyt1</dc:creator>
  <cp:lastModifiedBy>WANGQW</cp:lastModifiedBy>
  <dcterms:modified xsi:type="dcterms:W3CDTF">2025-06-06T16:54:40Z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D721AA5F162B6F6FD0AC426882119A72</vt:lpwstr>
  </property>
</Properties>
</file>